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AB97E" w14:textId="77777777" w:rsidR="00874C7A" w:rsidRPr="00F21F0F" w:rsidRDefault="008A4B14" w:rsidP="00874C7A">
      <w:pPr>
        <w:pStyle w:val="Title"/>
        <w:rPr>
          <w:highlight w:val="yellow"/>
        </w:rPr>
      </w:pPr>
      <w:r w:rsidRPr="00F21F0F">
        <w:rPr>
          <w:kern w:val="18"/>
        </w:rPr>
        <w:t>CONFIRMATION</w:t>
      </w:r>
    </w:p>
    <w:p w14:paraId="053AE3CE" w14:textId="77777777" w:rsidR="00874C7A" w:rsidRPr="00F21F0F" w:rsidRDefault="008A4B14" w:rsidP="00F21F0F">
      <w:pPr>
        <w:pStyle w:val="Center"/>
        <w:spacing w:after="0"/>
        <w:rPr>
          <w:kern w:val="18"/>
        </w:rPr>
      </w:pPr>
      <w:r w:rsidRPr="00F21F0F">
        <w:rPr>
          <w:kern w:val="18"/>
        </w:rPr>
        <w:t>Reference:</w:t>
      </w:r>
      <w:r w:rsidRPr="00F21F0F">
        <w:rPr>
          <w:kern w:val="18"/>
        </w:rPr>
        <w:br/>
        <w:t>Master Power Purchase and Sale Agreement</w:t>
      </w:r>
      <w:r w:rsidRPr="00F21F0F">
        <w:rPr>
          <w:kern w:val="18"/>
        </w:rPr>
        <w:br/>
        <w:t xml:space="preserve">Between </w:t>
      </w:r>
      <w:r w:rsidR="000F7AFF">
        <w:rPr>
          <w:kern w:val="18"/>
        </w:rPr>
        <w:t>_________________</w:t>
      </w:r>
      <w:r w:rsidRPr="00F21F0F">
        <w:rPr>
          <w:kern w:val="18"/>
        </w:rPr>
        <w:t xml:space="preserve"> (“Seller”)</w:t>
      </w:r>
      <w:r w:rsidRPr="00F21F0F">
        <w:rPr>
          <w:kern w:val="18"/>
        </w:rPr>
        <w:br/>
        <w:t>And</w:t>
      </w:r>
      <w:r w:rsidRPr="00F21F0F">
        <w:rPr>
          <w:kern w:val="18"/>
        </w:rPr>
        <w:br/>
      </w:r>
      <w:r w:rsidR="003469CD">
        <w:rPr>
          <w:kern w:val="18"/>
        </w:rPr>
        <w:t>Clean Power Alliance of Southern California</w:t>
      </w:r>
      <w:r w:rsidR="00514880">
        <w:rPr>
          <w:kern w:val="18"/>
        </w:rPr>
        <w:t>,</w:t>
      </w:r>
      <w:r w:rsidR="00514880" w:rsidRPr="00514880">
        <w:rPr>
          <w:kern w:val="18"/>
        </w:rPr>
        <w:t xml:space="preserve"> </w:t>
      </w:r>
      <w:r w:rsidR="00514880" w:rsidRPr="00F21F0F">
        <w:rPr>
          <w:kern w:val="18"/>
        </w:rPr>
        <w:t>a California joint powers authority</w:t>
      </w:r>
      <w:r w:rsidR="000F7AFF">
        <w:rPr>
          <w:kern w:val="18"/>
        </w:rPr>
        <w:t xml:space="preserve"> </w:t>
      </w:r>
      <w:r w:rsidRPr="00F21F0F">
        <w:rPr>
          <w:kern w:val="18"/>
        </w:rPr>
        <w:t>(“Buyer</w:t>
      </w:r>
      <w:r>
        <w:rPr>
          <w:kern w:val="18"/>
        </w:rPr>
        <w:t>”)</w:t>
      </w:r>
      <w:r>
        <w:rPr>
          <w:kern w:val="18"/>
        </w:rPr>
        <w:br/>
        <w:t xml:space="preserve">dated </w:t>
      </w:r>
      <w:r w:rsidR="000F7AFF">
        <w:rPr>
          <w:kern w:val="18"/>
        </w:rPr>
        <w:t>_________________</w:t>
      </w:r>
      <w:r>
        <w:rPr>
          <w:kern w:val="18"/>
        </w:rPr>
        <w:t xml:space="preserve"> </w:t>
      </w:r>
      <w:bookmarkStart w:id="0" w:name="OpenAt"/>
      <w:bookmarkEnd w:id="0"/>
    </w:p>
    <w:p w14:paraId="3F41FED2" w14:textId="77777777" w:rsidR="00874C7A" w:rsidRDefault="008A4B14" w:rsidP="00874C7A">
      <w:pPr>
        <w:pStyle w:val="Center"/>
        <w:spacing w:after="0"/>
        <w:rPr>
          <w:kern w:val="18"/>
        </w:rPr>
      </w:pPr>
      <w:r>
        <w:rPr>
          <w:kern w:val="18"/>
        </w:rPr>
        <w:t xml:space="preserve">Transaction Date:  </w:t>
      </w:r>
      <w:r w:rsidR="000F7AFF">
        <w:rPr>
          <w:kern w:val="18"/>
        </w:rPr>
        <w:t>_________________</w:t>
      </w:r>
      <w:r>
        <w:rPr>
          <w:kern w:val="18"/>
        </w:rPr>
        <w:t xml:space="preserve"> (the “Effective Date”) </w:t>
      </w:r>
    </w:p>
    <w:p w14:paraId="61D9A5D7" w14:textId="77777777" w:rsidR="00874C7A" w:rsidRDefault="008A4B14" w:rsidP="00874C7A">
      <w:pPr>
        <w:pStyle w:val="Center"/>
        <w:spacing w:after="0"/>
        <w:rPr>
          <w:noProof/>
        </w:rPr>
      </w:pPr>
      <w:r>
        <w:rPr>
          <w:kern w:val="18"/>
        </w:rPr>
        <w:br/>
      </w:r>
    </w:p>
    <w:p w14:paraId="75BC03FE" w14:textId="77777777" w:rsidR="00874C7A" w:rsidRDefault="008A4B14" w:rsidP="00874C7A">
      <w:pPr>
        <w:pStyle w:val="Title"/>
      </w:pPr>
      <w:r>
        <w:t>RECITALS:</w:t>
      </w:r>
    </w:p>
    <w:p w14:paraId="48F20DC6" w14:textId="77777777" w:rsidR="00874C7A" w:rsidRDefault="008A4B14" w:rsidP="00F21F0F">
      <w:pPr>
        <w:pStyle w:val="BodyText2"/>
      </w:pPr>
      <w:r w:rsidRPr="00F21F0F">
        <w:rPr>
          <w:b/>
          <w:kern w:val="18"/>
        </w:rPr>
        <w:t>WHEREAS</w:t>
      </w:r>
      <w:r w:rsidRPr="00F21F0F">
        <w:rPr>
          <w:kern w:val="18"/>
        </w:rPr>
        <w:t>, pursuant to California Public Utilities Code Sections 366.1, et. seq., Buyer has been registered as a Community Choice Aggregator (the “</w:t>
      </w:r>
      <w:r w:rsidRPr="00F21F0F">
        <w:rPr>
          <w:kern w:val="18"/>
          <w:u w:val="single"/>
        </w:rPr>
        <w:t>CCA</w:t>
      </w:r>
      <w:r w:rsidRPr="00F21F0F">
        <w:rPr>
          <w:kern w:val="18"/>
        </w:rPr>
        <w:t>”);</w:t>
      </w:r>
    </w:p>
    <w:p w14:paraId="0907515B" w14:textId="77777777" w:rsidR="00874C7A" w:rsidRDefault="008A4B14" w:rsidP="00F21F0F">
      <w:pPr>
        <w:pStyle w:val="BodyText2"/>
      </w:pPr>
      <w:r w:rsidRPr="00F21F0F">
        <w:rPr>
          <w:b/>
          <w:kern w:val="18"/>
        </w:rPr>
        <w:t>WHEREAS</w:t>
      </w:r>
      <w:r w:rsidRPr="00F21F0F">
        <w:rPr>
          <w:kern w:val="18"/>
        </w:rPr>
        <w:t xml:space="preserve">, Buyer is a California joint powers authority, which has established </w:t>
      </w:r>
      <w:r w:rsidR="003469CD">
        <w:rPr>
          <w:kern w:val="18"/>
        </w:rPr>
        <w:t>Clean Power Alliance of Southern California</w:t>
      </w:r>
      <w:r w:rsidRPr="00F21F0F">
        <w:rPr>
          <w:kern w:val="18"/>
        </w:rPr>
        <w:t xml:space="preserve"> for purposes of delivering CCA service to certain customers located within the </w:t>
      </w:r>
      <w:r>
        <w:rPr>
          <w:kern w:val="18"/>
        </w:rPr>
        <w:t>Count</w:t>
      </w:r>
      <w:r w:rsidR="003469CD">
        <w:rPr>
          <w:kern w:val="18"/>
        </w:rPr>
        <w:t>ies of Los Angeles and Ventura</w:t>
      </w:r>
      <w:r w:rsidRPr="00F21F0F">
        <w:rPr>
          <w:kern w:val="18"/>
        </w:rPr>
        <w:t>;</w:t>
      </w:r>
    </w:p>
    <w:p w14:paraId="78C8BD2A" w14:textId="77777777" w:rsidR="00874C7A" w:rsidRDefault="008A4B14" w:rsidP="00F21F0F">
      <w:pPr>
        <w:pStyle w:val="BodyText2"/>
      </w:pPr>
      <w:r w:rsidRPr="00F21F0F">
        <w:rPr>
          <w:b/>
          <w:kern w:val="18"/>
        </w:rPr>
        <w:t>WHEREAS</w:t>
      </w:r>
      <w:r w:rsidRPr="00F21F0F">
        <w:rPr>
          <w:kern w:val="18"/>
        </w:rPr>
        <w:t>, pursuant to California Public Utilities Code Section 366.2, Buyer submitted Buyer’s CCA Implementation Plan and Statement of Intent (“</w:t>
      </w:r>
      <w:r w:rsidRPr="00F21F0F">
        <w:rPr>
          <w:kern w:val="18"/>
          <w:u w:val="single"/>
        </w:rPr>
        <w:t>Implementation Plan</w:t>
      </w:r>
      <w:r w:rsidRPr="00F21F0F">
        <w:rPr>
          <w:kern w:val="18"/>
        </w:rPr>
        <w:t>”) to the CPUC;</w:t>
      </w:r>
    </w:p>
    <w:p w14:paraId="480DDB6F" w14:textId="77777777" w:rsidR="00874C7A" w:rsidRPr="00F21F0F" w:rsidRDefault="008A4B14" w:rsidP="00F21F0F">
      <w:pPr>
        <w:pStyle w:val="BodyText2"/>
        <w:rPr>
          <w:kern w:val="18"/>
        </w:rPr>
      </w:pPr>
      <w:r w:rsidRPr="00F21F0F">
        <w:rPr>
          <w:b/>
          <w:kern w:val="18"/>
        </w:rPr>
        <w:t>WHEREAS</w:t>
      </w:r>
      <w:r w:rsidRPr="00F21F0F">
        <w:rPr>
          <w:kern w:val="18"/>
        </w:rPr>
        <w:t xml:space="preserve">, the CPUC </w:t>
      </w:r>
      <w:r w:rsidR="00D4458B">
        <w:rPr>
          <w:kern w:val="18"/>
        </w:rPr>
        <w:t xml:space="preserve">has </w:t>
      </w:r>
      <w:r w:rsidRPr="00F21F0F">
        <w:rPr>
          <w:kern w:val="18"/>
        </w:rPr>
        <w:t>certified the Implementation Plan;</w:t>
      </w:r>
    </w:p>
    <w:p w14:paraId="56A80FCF" w14:textId="77777777" w:rsidR="00874C7A" w:rsidRDefault="008A4B14" w:rsidP="00F21F0F">
      <w:pPr>
        <w:pStyle w:val="BodyText2"/>
      </w:pPr>
      <w:r w:rsidRPr="00F21F0F">
        <w:rPr>
          <w:b/>
          <w:kern w:val="18"/>
        </w:rPr>
        <w:t>WHEREAS</w:t>
      </w:r>
      <w:r w:rsidRPr="00F21F0F">
        <w:rPr>
          <w:kern w:val="18"/>
        </w:rPr>
        <w:t>, Seller and Buyer desire to set forth the terms and conditions pursuant to which Seller shall supply the Product to Buyer, and Buyer shall take and pay for such supply of Product subject to satisfaction of the conditions herein; and</w:t>
      </w:r>
    </w:p>
    <w:p w14:paraId="087353EA" w14:textId="77777777" w:rsidR="00874C7A" w:rsidRDefault="008A4B14" w:rsidP="00F21F0F">
      <w:pPr>
        <w:pStyle w:val="BodyText2"/>
      </w:pPr>
      <w:r w:rsidRPr="00F21F0F">
        <w:rPr>
          <w:b/>
          <w:kern w:val="18"/>
        </w:rPr>
        <w:t>NOW, THEREFORE</w:t>
      </w:r>
      <w:r w:rsidRPr="00F21F0F">
        <w:rPr>
          <w:kern w:val="18"/>
        </w:rPr>
        <w:t>, in consideration of the mutual covenants and agreements in this Confirmation and for other good and valuable consideration, the sufficiency of which is hereby acknowledged, and intending to be legally bound hereby, the Parties agree as follows:</w:t>
      </w:r>
    </w:p>
    <w:p w14:paraId="4B66F812" w14:textId="77777777" w:rsidR="00874C7A" w:rsidRDefault="008A4B14" w:rsidP="00874C7A">
      <w:pPr>
        <w:pStyle w:val="Legal2L1"/>
      </w:pPr>
      <w:r w:rsidRPr="00F21F0F">
        <w:rPr>
          <w:b/>
          <w:kern w:val="18"/>
          <w:u w:val="single"/>
        </w:rPr>
        <w:t>DEFINITIONS</w:t>
      </w:r>
      <w:r w:rsidRPr="0055753D">
        <w:rPr>
          <w:kern w:val="18"/>
        </w:rPr>
        <w:t xml:space="preserve">. </w:t>
      </w:r>
      <w:r>
        <w:rPr>
          <w:b/>
          <w:kern w:val="18"/>
        </w:rPr>
        <w:t xml:space="preserve"> </w:t>
      </w:r>
      <w:r>
        <w:rPr>
          <w:kern w:val="18"/>
        </w:rPr>
        <w:t>Any capitalized</w:t>
      </w:r>
      <w:r w:rsidRPr="00F21F0F">
        <w:rPr>
          <w:kern w:val="18"/>
        </w:rPr>
        <w:t xml:space="preserve"> terms </w:t>
      </w:r>
      <w:r>
        <w:rPr>
          <w:kern w:val="18"/>
        </w:rPr>
        <w:t>used</w:t>
      </w:r>
      <w:r w:rsidRPr="00F21F0F">
        <w:rPr>
          <w:kern w:val="18"/>
        </w:rPr>
        <w:t xml:space="preserve"> in this Confirmation </w:t>
      </w:r>
      <w:r>
        <w:rPr>
          <w:kern w:val="18"/>
        </w:rPr>
        <w:t>but not otherwise defined</w:t>
      </w:r>
      <w:r w:rsidRPr="00F21F0F">
        <w:rPr>
          <w:kern w:val="18"/>
        </w:rPr>
        <w:t xml:space="preserve"> below</w:t>
      </w:r>
      <w:r>
        <w:rPr>
          <w:kern w:val="18"/>
        </w:rPr>
        <w:t xml:space="preserve"> shall have the meaning ascribed to such term in the Master Agreement</w:t>
      </w:r>
      <w:r w:rsidRPr="00F21F0F">
        <w:rPr>
          <w:kern w:val="18"/>
        </w:rPr>
        <w:t>:</w:t>
      </w:r>
    </w:p>
    <w:p w14:paraId="4847AFFE" w14:textId="77777777" w:rsidR="00874C7A" w:rsidRDefault="008A4B14" w:rsidP="00F21F0F">
      <w:pPr>
        <w:pStyle w:val="BodyText2"/>
      </w:pPr>
      <w:r w:rsidRPr="00F21F0F">
        <w:rPr>
          <w:kern w:val="18"/>
        </w:rPr>
        <w:t>“</w:t>
      </w:r>
      <w:r w:rsidRPr="00F21F0F">
        <w:rPr>
          <w:kern w:val="18"/>
          <w:u w:val="single"/>
        </w:rPr>
        <w:t>ACS</w:t>
      </w:r>
      <w:r w:rsidRPr="00F21F0F">
        <w:rPr>
          <w:kern w:val="18"/>
        </w:rPr>
        <w:t>” means “asset-controlling supplier” as that term is defined in the Cap and Trade Regulations.</w:t>
      </w:r>
    </w:p>
    <w:p w14:paraId="01377ADE" w14:textId="77777777" w:rsidR="00874C7A" w:rsidRDefault="008A4B14" w:rsidP="00F21F0F">
      <w:pPr>
        <w:pStyle w:val="BodyText2"/>
      </w:pPr>
      <w:r>
        <w:rPr>
          <w:kern w:val="18"/>
        </w:rPr>
        <w:t>“</w:t>
      </w:r>
      <w:r w:rsidRPr="00F21F0F">
        <w:rPr>
          <w:kern w:val="18"/>
          <w:u w:val="single"/>
        </w:rPr>
        <w:t>Applicable Law</w:t>
      </w:r>
      <w:r w:rsidRPr="00F21F0F">
        <w:rPr>
          <w:kern w:val="18"/>
        </w:rPr>
        <w:t xml:space="preserve">” means any statute, law, treaty, rule, tariff, regulation, ordinance, code, permit, enactment, injunction, order, writ, decision, authorization, judgment, decree or other legal or regulatory determination or restriction by a court or Governmental Authority of competent jurisdiction, or any binding interpretation of the foregoing, as any of them is amended or supplemented from time to time, that apply to either or both of the Parties, the Project(s), or the terms of </w:t>
      </w:r>
      <w:r>
        <w:rPr>
          <w:kern w:val="18"/>
        </w:rPr>
        <w:t>the Agreement</w:t>
      </w:r>
      <w:r w:rsidRPr="00F21F0F">
        <w:rPr>
          <w:kern w:val="18"/>
        </w:rPr>
        <w:t>.</w:t>
      </w:r>
    </w:p>
    <w:p w14:paraId="48715716" w14:textId="77777777" w:rsidR="00874C7A" w:rsidRPr="00F21F0F" w:rsidRDefault="008A4B14" w:rsidP="00F21F0F">
      <w:pPr>
        <w:pStyle w:val="BodyText2"/>
        <w:rPr>
          <w:kern w:val="18"/>
        </w:rPr>
      </w:pPr>
      <w:r w:rsidRPr="00F21F0F">
        <w:rPr>
          <w:kern w:val="18"/>
        </w:rPr>
        <w:lastRenderedPageBreak/>
        <w:t>“</w:t>
      </w:r>
      <w:r w:rsidRPr="00F21F0F">
        <w:rPr>
          <w:kern w:val="18"/>
          <w:u w:val="single"/>
        </w:rPr>
        <w:t>CAISO</w:t>
      </w:r>
      <w:r w:rsidRPr="00F21F0F">
        <w:rPr>
          <w:kern w:val="18"/>
        </w:rPr>
        <w:t>” means the California Independent System Operator Corporation or the successor organization to the functions thereof.</w:t>
      </w:r>
    </w:p>
    <w:p w14:paraId="3F26C8ED" w14:textId="77777777" w:rsidR="00874C7A" w:rsidRDefault="008A4B14" w:rsidP="00BE6993">
      <w:pPr>
        <w:ind w:firstLine="720"/>
        <w:jc w:val="both"/>
      </w:pPr>
      <w:r>
        <w:t>“</w:t>
      </w:r>
      <w:r w:rsidRPr="00251FB7">
        <w:rPr>
          <w:u w:val="single"/>
        </w:rPr>
        <w:t>CAISO Tariff</w:t>
      </w:r>
      <w:r>
        <w:t>” means the California Independent System Operator Corporation Agreement and Tariff, Business Practice Manuals (BPMs), and Operating Procedures, including the rules, protocols, procedures and standards attached thereto, as the same may be amended or modified from time-to-time and approved by FERC.</w:t>
      </w:r>
    </w:p>
    <w:p w14:paraId="4DF6FA8C" w14:textId="77777777" w:rsidR="00515F0E" w:rsidRDefault="00561486" w:rsidP="00CC292B">
      <w:pPr>
        <w:ind w:firstLine="720"/>
      </w:pPr>
    </w:p>
    <w:p w14:paraId="16F6AD85" w14:textId="77777777" w:rsidR="00874C7A" w:rsidRDefault="008A4B14" w:rsidP="00F21F0F">
      <w:pPr>
        <w:pStyle w:val="BodyText2"/>
      </w:pPr>
      <w:r w:rsidRPr="00F21F0F">
        <w:rPr>
          <w:kern w:val="18"/>
        </w:rPr>
        <w:t>“</w:t>
      </w:r>
      <w:r w:rsidRPr="00F21F0F">
        <w:rPr>
          <w:kern w:val="18"/>
          <w:u w:val="single"/>
        </w:rPr>
        <w:t>California RPS” or “California Renewables Portfolio Standard</w:t>
      </w:r>
      <w:r w:rsidRPr="00F21F0F">
        <w:rPr>
          <w:kern w:val="18"/>
        </w:rPr>
        <w:t>” means the California renewables portfolio standard, as set forth in Cal. Pub. Util. Code §§ 399.11 et seq. and Cal. Pub. Res. Code §§ 25740-25751, and as administered by the CEC as set forth in the CEC RPS Eligibility Guidebook (</w:t>
      </w:r>
      <w:r>
        <w:rPr>
          <w:kern w:val="18"/>
        </w:rPr>
        <w:t>9</w:t>
      </w:r>
      <w:r w:rsidRPr="00F21F0F">
        <w:rPr>
          <w:kern w:val="18"/>
          <w:vertAlign w:val="superscript"/>
        </w:rPr>
        <w:t>th</w:t>
      </w:r>
      <w:r w:rsidRPr="00F21F0F">
        <w:rPr>
          <w:kern w:val="18"/>
        </w:rPr>
        <w:t xml:space="preserve"> Ed.), as may be subsequently modified by the CEC, and the California Public Utilities Commission (“CPUC”) as set forth in CPUC Decision (“D”) 08-08-028, D.08-04-009, D.11-01-025, D.11-12-</w:t>
      </w:r>
      <w:r>
        <w:rPr>
          <w:kern w:val="18"/>
        </w:rPr>
        <w:t>020, D.11-12-</w:t>
      </w:r>
      <w:r w:rsidRPr="00F21F0F">
        <w:rPr>
          <w:kern w:val="18"/>
        </w:rPr>
        <w:t>052, D.12-06-038</w:t>
      </w:r>
      <w:r>
        <w:rPr>
          <w:kern w:val="18"/>
        </w:rPr>
        <w:t xml:space="preserve"> and D.14-12-023</w:t>
      </w:r>
      <w:r w:rsidRPr="00F21F0F">
        <w:rPr>
          <w:kern w:val="18"/>
        </w:rPr>
        <w:t>, and as may be modified by subsequent decision of the CPUC or by subsequent legislation, and regulations promulgated with respect thereto.</w:t>
      </w:r>
    </w:p>
    <w:p w14:paraId="106B86EF" w14:textId="77777777" w:rsidR="00874C7A" w:rsidRDefault="008A4B14" w:rsidP="00F21F0F">
      <w:pPr>
        <w:pStyle w:val="BodyText2"/>
        <w:rPr>
          <w:color w:val="000000"/>
        </w:rPr>
      </w:pPr>
      <w:r w:rsidRPr="00F21F0F">
        <w:rPr>
          <w:color w:val="000000"/>
          <w:kern w:val="18"/>
        </w:rPr>
        <w:t>“</w:t>
      </w:r>
      <w:r w:rsidRPr="00F21F0F">
        <w:rPr>
          <w:color w:val="000000"/>
          <w:kern w:val="18"/>
          <w:u w:val="single"/>
        </w:rPr>
        <w:t>Cap and Trade Regulations</w:t>
      </w:r>
      <w:r w:rsidRPr="00F21F0F">
        <w:rPr>
          <w:color w:val="000000"/>
          <w:kern w:val="18"/>
        </w:rPr>
        <w:t xml:space="preserve">” means the </w:t>
      </w:r>
      <w:r w:rsidRPr="00F21F0F">
        <w:rPr>
          <w:kern w:val="18"/>
        </w:rPr>
        <w:t>Mandatory Greenhouse Gas Emissions Reporting and California Cap on Greenhouse Gas Emissions and Market-Based Compliance Mechanisms regulations (California Code of Regulations Title 17, Subchapter 10, Articles 2 and 5 respectively) promulgated by the California Air Resources Board of the California Environmental Protection Agency pursuant to the California Global Warming Solutions Act of 2006.</w:t>
      </w:r>
    </w:p>
    <w:p w14:paraId="08243A79" w14:textId="77777777" w:rsidR="00874C7A" w:rsidRDefault="008A4B14" w:rsidP="00F21F0F">
      <w:pPr>
        <w:pStyle w:val="BodyText2"/>
      </w:pPr>
      <w:r w:rsidRPr="00F21F0F">
        <w:rPr>
          <w:kern w:val="18"/>
        </w:rPr>
        <w:t>“</w:t>
      </w:r>
      <w:r w:rsidRPr="00F21F0F">
        <w:rPr>
          <w:kern w:val="18"/>
          <w:u w:val="single"/>
        </w:rPr>
        <w:t>Carbon Free Energy</w:t>
      </w:r>
      <w:r w:rsidRPr="00F21F0F">
        <w:rPr>
          <w:kern w:val="18"/>
        </w:rPr>
        <w:t xml:space="preserve">” means Energy </w:t>
      </w:r>
      <w:r>
        <w:rPr>
          <w:kern w:val="18"/>
        </w:rPr>
        <w:t>generated by</w:t>
      </w:r>
      <w:r w:rsidRPr="00F21F0F">
        <w:rPr>
          <w:kern w:val="18"/>
        </w:rPr>
        <w:t xml:space="preserve"> Carbon Free Sources.</w:t>
      </w:r>
    </w:p>
    <w:p w14:paraId="70E3D78C" w14:textId="6D089E2D" w:rsidR="00874C7A" w:rsidRDefault="008A4B14" w:rsidP="00F21F0F">
      <w:pPr>
        <w:pStyle w:val="BodyText2"/>
        <w:rPr>
          <w:i/>
        </w:rPr>
      </w:pPr>
      <w:r w:rsidRPr="00F21F0F">
        <w:rPr>
          <w:kern w:val="18"/>
        </w:rPr>
        <w:t>“</w:t>
      </w:r>
      <w:r w:rsidRPr="00F21F0F">
        <w:rPr>
          <w:kern w:val="18"/>
          <w:u w:val="single"/>
        </w:rPr>
        <w:t>Carbon Free Source</w:t>
      </w:r>
      <w:r w:rsidRPr="00F21F0F">
        <w:rPr>
          <w:kern w:val="18"/>
        </w:rPr>
        <w:t>” means any energy source, except for nuclear-powered generation assets, that is located within the WECC and that is considered by the State of California to have zero Greenhouse Gas emissions in accordance with the Cap and Trade Regulations.  Carbon Free Source does not include any Category 3 Renewables</w:t>
      </w:r>
      <w:r w:rsidR="00304CEB">
        <w:rPr>
          <w:kern w:val="18"/>
        </w:rPr>
        <w:t xml:space="preserve">, </w:t>
      </w:r>
      <w:r w:rsidR="004F3C68">
        <w:rPr>
          <w:kern w:val="18"/>
        </w:rPr>
        <w:t>energy source</w:t>
      </w:r>
      <w:r w:rsidR="00304CEB">
        <w:rPr>
          <w:kern w:val="18"/>
        </w:rPr>
        <w:t xml:space="preserve"> </w:t>
      </w:r>
      <w:r w:rsidRPr="00F21F0F">
        <w:rPr>
          <w:kern w:val="18"/>
        </w:rPr>
        <w:t>with an e-tag with a source point associated with a nuclear or coal-fired generating facility</w:t>
      </w:r>
      <w:r w:rsidR="00304CEB">
        <w:rPr>
          <w:kern w:val="18"/>
        </w:rPr>
        <w:t xml:space="preserve">, or ACS resource that has </w:t>
      </w:r>
      <w:r w:rsidR="00F97C9D">
        <w:rPr>
          <w:kern w:val="18"/>
        </w:rPr>
        <w:t xml:space="preserve">a </w:t>
      </w:r>
      <w:r w:rsidR="00304CEB">
        <w:rPr>
          <w:kern w:val="18"/>
        </w:rPr>
        <w:t xml:space="preserve">nuclear or </w:t>
      </w:r>
      <w:r w:rsidR="00304CEB" w:rsidRPr="00F21F0F">
        <w:rPr>
          <w:kern w:val="18"/>
        </w:rPr>
        <w:t>coal-fired generating facility</w:t>
      </w:r>
      <w:r w:rsidR="00304CEB">
        <w:rPr>
          <w:kern w:val="18"/>
        </w:rPr>
        <w:t xml:space="preserve"> in the ACS portfolio</w:t>
      </w:r>
      <w:r w:rsidRPr="00F21F0F">
        <w:rPr>
          <w:kern w:val="18"/>
        </w:rPr>
        <w:t>.</w:t>
      </w:r>
    </w:p>
    <w:p w14:paraId="6FD0FA69" w14:textId="77777777" w:rsidR="00874C7A" w:rsidRDefault="008A4B14" w:rsidP="00F21F0F">
      <w:pPr>
        <w:pStyle w:val="BodyText2"/>
        <w:rPr>
          <w:color w:val="000000"/>
        </w:rPr>
      </w:pPr>
      <w:r w:rsidRPr="00F21F0F">
        <w:rPr>
          <w:color w:val="000000"/>
          <w:kern w:val="18"/>
        </w:rPr>
        <w:t>“</w:t>
      </w:r>
      <w:r w:rsidRPr="00F21F0F">
        <w:rPr>
          <w:color w:val="000000"/>
          <w:kern w:val="18"/>
          <w:u w:val="single"/>
        </w:rPr>
        <w:t>Category 1 Renewable</w:t>
      </w:r>
      <w:r w:rsidRPr="00F21F0F">
        <w:rPr>
          <w:color w:val="000000"/>
          <w:kern w:val="18"/>
        </w:rPr>
        <w:t>”</w:t>
      </w:r>
      <w:r w:rsidRPr="00F21F0F">
        <w:rPr>
          <w:b/>
          <w:color w:val="000000"/>
          <w:kern w:val="18"/>
        </w:rPr>
        <w:t xml:space="preserve"> </w:t>
      </w:r>
      <w:r w:rsidRPr="00F21F0F">
        <w:rPr>
          <w:color w:val="000000"/>
          <w:kern w:val="18"/>
        </w:rPr>
        <w:t>means Renewable Energy that satisfies the requirements of Section 399.16(b)(1) of the California Public Utilities Code, as applicable to the REC Vintage transferred hereunder.</w:t>
      </w:r>
    </w:p>
    <w:p w14:paraId="3F23855B" w14:textId="77777777" w:rsidR="00874C7A" w:rsidRDefault="008A4B14" w:rsidP="00F21F0F">
      <w:pPr>
        <w:pStyle w:val="BodyText2"/>
        <w:rPr>
          <w:color w:val="000000"/>
        </w:rPr>
      </w:pPr>
      <w:r w:rsidRPr="00F21F0F">
        <w:rPr>
          <w:color w:val="000000"/>
          <w:kern w:val="18"/>
        </w:rPr>
        <w:t>“</w:t>
      </w:r>
      <w:r w:rsidRPr="00F21F0F">
        <w:rPr>
          <w:color w:val="000000"/>
          <w:kern w:val="18"/>
          <w:u w:val="single"/>
        </w:rPr>
        <w:t>Category 2 Renewable</w:t>
      </w:r>
      <w:r w:rsidRPr="00F21F0F">
        <w:rPr>
          <w:color w:val="000000"/>
          <w:kern w:val="18"/>
        </w:rPr>
        <w:t>”</w:t>
      </w:r>
      <w:r w:rsidRPr="00F21F0F">
        <w:rPr>
          <w:b/>
          <w:color w:val="000000"/>
          <w:kern w:val="18"/>
        </w:rPr>
        <w:t xml:space="preserve"> </w:t>
      </w:r>
      <w:r w:rsidRPr="00F21F0F">
        <w:rPr>
          <w:color w:val="000000"/>
          <w:kern w:val="18"/>
        </w:rPr>
        <w:t>means Renewable Energy that satisfies the requirements of Section 399.16(b)(2) of the California Public Utilities Code, as applicable to the REC Vintage transferred hereunder.</w:t>
      </w:r>
    </w:p>
    <w:p w14:paraId="50BFCD99" w14:textId="77777777" w:rsidR="00874C7A" w:rsidRDefault="008A4B14" w:rsidP="00F21F0F">
      <w:pPr>
        <w:pStyle w:val="BodyText2"/>
        <w:rPr>
          <w:color w:val="000000"/>
        </w:rPr>
      </w:pPr>
      <w:r w:rsidRPr="00F21F0F">
        <w:rPr>
          <w:color w:val="000000"/>
          <w:kern w:val="18"/>
        </w:rPr>
        <w:t>“</w:t>
      </w:r>
      <w:r w:rsidRPr="00F21F0F">
        <w:rPr>
          <w:color w:val="000000"/>
          <w:kern w:val="18"/>
          <w:u w:val="single"/>
        </w:rPr>
        <w:t>Category 3 Renewable</w:t>
      </w:r>
      <w:r w:rsidRPr="00F21F0F">
        <w:rPr>
          <w:color w:val="000000"/>
          <w:kern w:val="18"/>
        </w:rPr>
        <w:t>”</w:t>
      </w:r>
      <w:r w:rsidRPr="00F21F0F">
        <w:rPr>
          <w:b/>
          <w:color w:val="000000"/>
          <w:kern w:val="18"/>
        </w:rPr>
        <w:t xml:space="preserve"> </w:t>
      </w:r>
      <w:r w:rsidRPr="00F21F0F">
        <w:rPr>
          <w:color w:val="000000"/>
          <w:kern w:val="18"/>
        </w:rPr>
        <w:t xml:space="preserve">means the Renewable Energy Credits that </w:t>
      </w:r>
      <w:r>
        <w:rPr>
          <w:color w:val="000000"/>
          <w:kern w:val="18"/>
        </w:rPr>
        <w:t>satisfy</w:t>
      </w:r>
      <w:r w:rsidRPr="00F21F0F">
        <w:rPr>
          <w:color w:val="000000"/>
          <w:kern w:val="18"/>
        </w:rPr>
        <w:t xml:space="preserve"> the requirements of Section 399.16(b)(3) of the California Public Utilities Code, as applicable to the REC Vintage transferred hereunder.</w:t>
      </w:r>
    </w:p>
    <w:p w14:paraId="693F42BE" w14:textId="77777777" w:rsidR="00874C7A" w:rsidRPr="00F21F0F" w:rsidRDefault="008A4B14" w:rsidP="00F21F0F">
      <w:pPr>
        <w:pStyle w:val="BodyText2"/>
        <w:rPr>
          <w:color w:val="000000"/>
          <w:kern w:val="18"/>
        </w:rPr>
      </w:pPr>
      <w:r w:rsidRPr="00F21F0F">
        <w:rPr>
          <w:color w:val="000000"/>
          <w:kern w:val="18"/>
        </w:rPr>
        <w:t>“</w:t>
      </w:r>
      <w:r w:rsidRPr="00F21F0F">
        <w:rPr>
          <w:color w:val="000000"/>
          <w:kern w:val="18"/>
          <w:u w:val="single"/>
        </w:rPr>
        <w:t>CEC</w:t>
      </w:r>
      <w:r w:rsidRPr="00F21F0F">
        <w:rPr>
          <w:color w:val="000000"/>
          <w:kern w:val="18"/>
        </w:rPr>
        <w:t>” means the California Energy Commission.</w:t>
      </w:r>
    </w:p>
    <w:p w14:paraId="3AF05CE6" w14:textId="77777777" w:rsidR="00874C7A" w:rsidRDefault="008A4B14" w:rsidP="00874C7A">
      <w:pPr>
        <w:pStyle w:val="BodyText2"/>
      </w:pPr>
      <w:r w:rsidRPr="0007012F">
        <w:t>“</w:t>
      </w:r>
      <w:r>
        <w:rPr>
          <w:u w:val="single"/>
        </w:rPr>
        <w:t>Change in Law</w:t>
      </w:r>
      <w:r w:rsidRPr="0007012F">
        <w:t>”</w:t>
      </w:r>
      <w:r>
        <w:t xml:space="preserve"> has the meaning set forth in Section 2.2 hereof.</w:t>
      </w:r>
    </w:p>
    <w:p w14:paraId="3228B048" w14:textId="77777777" w:rsidR="00BE6993" w:rsidRDefault="00BE6993" w:rsidP="00BE6993">
      <w:pPr>
        <w:pStyle w:val="BodyText2"/>
      </w:pPr>
      <w:r>
        <w:rPr>
          <w:kern w:val="18"/>
        </w:rPr>
        <w:t>“</w:t>
      </w:r>
      <w:r>
        <w:rPr>
          <w:kern w:val="18"/>
          <w:u w:val="single"/>
        </w:rPr>
        <w:t>Clean Power Alliance of Southern California</w:t>
      </w:r>
      <w:r>
        <w:rPr>
          <w:kern w:val="18"/>
        </w:rPr>
        <w:t>” means the community choice aggregation program operated by Buyer.</w:t>
      </w:r>
    </w:p>
    <w:p w14:paraId="5DFF93FE" w14:textId="77777777" w:rsidR="00874C7A" w:rsidRDefault="008A4B14" w:rsidP="00F21F0F">
      <w:pPr>
        <w:pStyle w:val="BodyText2"/>
        <w:rPr>
          <w:color w:val="000000"/>
        </w:rPr>
      </w:pPr>
      <w:r w:rsidRPr="00F21F0F">
        <w:rPr>
          <w:color w:val="000000"/>
          <w:kern w:val="18"/>
        </w:rPr>
        <w:t>“</w:t>
      </w:r>
      <w:r w:rsidRPr="00F21F0F">
        <w:rPr>
          <w:color w:val="000000"/>
          <w:kern w:val="18"/>
          <w:u w:val="single"/>
        </w:rPr>
        <w:t>Commercially Reasonable Efforts</w:t>
      </w:r>
      <w:r w:rsidRPr="00F21F0F">
        <w:rPr>
          <w:color w:val="000000"/>
          <w:kern w:val="18"/>
        </w:rPr>
        <w:t xml:space="preserve">” for the purposes of this Confirmation, </w:t>
      </w:r>
      <w:r w:rsidRPr="00F21F0F">
        <w:rPr>
          <w:kern w:val="18"/>
        </w:rPr>
        <w:t xml:space="preserve">“commercially reasonable efforts” or acting in a </w:t>
      </w:r>
      <w:r w:rsidRPr="00F21F0F">
        <w:rPr>
          <w:color w:val="000000"/>
          <w:kern w:val="18"/>
        </w:rPr>
        <w:t>“commercially reasonable manner” shall not require a Party to undertake extraordinary or unreasonable measures.</w:t>
      </w:r>
    </w:p>
    <w:p w14:paraId="30DD6F4F" w14:textId="77777777" w:rsidR="00874C7A" w:rsidRPr="00F21F0F" w:rsidRDefault="008A4B14" w:rsidP="00F21F0F">
      <w:pPr>
        <w:pStyle w:val="BodyText2"/>
        <w:rPr>
          <w:color w:val="000000"/>
          <w:kern w:val="18"/>
        </w:rPr>
      </w:pPr>
      <w:r w:rsidRPr="00F21F0F">
        <w:rPr>
          <w:color w:val="000000"/>
          <w:kern w:val="18"/>
        </w:rPr>
        <w:t>“</w:t>
      </w:r>
      <w:r w:rsidRPr="00F21F0F">
        <w:rPr>
          <w:color w:val="000000"/>
          <w:kern w:val="18"/>
          <w:u w:val="single"/>
        </w:rPr>
        <w:t>Compliance Obligation</w:t>
      </w:r>
      <w:r w:rsidRPr="00F21F0F">
        <w:rPr>
          <w:color w:val="000000"/>
          <w:kern w:val="18"/>
        </w:rPr>
        <w:t>”</w:t>
      </w:r>
      <w:r w:rsidRPr="00F21F0F">
        <w:rPr>
          <w:kern w:val="18"/>
        </w:rPr>
        <w:t xml:space="preserve"> </w:t>
      </w:r>
      <w:r w:rsidRPr="00F21F0F">
        <w:rPr>
          <w:color w:val="000000"/>
          <w:kern w:val="18"/>
        </w:rPr>
        <w:t>has the meaning set forth by the Cap and Trade Regulations.</w:t>
      </w:r>
    </w:p>
    <w:p w14:paraId="3A040317" w14:textId="77777777" w:rsidR="00874C7A" w:rsidRPr="00F21F0F" w:rsidRDefault="008A4B14" w:rsidP="00F21F0F">
      <w:pPr>
        <w:pStyle w:val="BodyText2"/>
        <w:rPr>
          <w:kern w:val="18"/>
        </w:rPr>
      </w:pPr>
      <w:r w:rsidRPr="00F21F0F">
        <w:rPr>
          <w:kern w:val="18"/>
        </w:rPr>
        <w:t>“</w:t>
      </w:r>
      <w:r w:rsidRPr="00F21F0F">
        <w:rPr>
          <w:kern w:val="18"/>
          <w:u w:val="single"/>
        </w:rPr>
        <w:t>CPUC</w:t>
      </w:r>
      <w:r w:rsidRPr="00F21F0F">
        <w:rPr>
          <w:kern w:val="18"/>
        </w:rPr>
        <w:t>” means the California Public Utilities Commission.</w:t>
      </w:r>
    </w:p>
    <w:p w14:paraId="46F75795" w14:textId="77777777" w:rsidR="00874C7A" w:rsidRDefault="008A4B14" w:rsidP="00F21F0F">
      <w:pPr>
        <w:pStyle w:val="BodyText2"/>
      </w:pPr>
      <w:r w:rsidRPr="00F21F0F">
        <w:rPr>
          <w:kern w:val="18"/>
        </w:rPr>
        <w:t>“</w:t>
      </w:r>
      <w:r w:rsidRPr="00F21F0F">
        <w:rPr>
          <w:kern w:val="18"/>
          <w:u w:val="single"/>
        </w:rPr>
        <w:t>Customers</w:t>
      </w:r>
      <w:r w:rsidRPr="00F21F0F">
        <w:rPr>
          <w:kern w:val="18"/>
        </w:rPr>
        <w:t xml:space="preserve">” means the residential, commercial, industrial, and all other retail end use customers that have not opted out of the </w:t>
      </w:r>
      <w:r w:rsidR="00BE6993">
        <w:rPr>
          <w:kern w:val="18"/>
        </w:rPr>
        <w:t>Clean Power Alliance of Southern California</w:t>
      </w:r>
      <w:r w:rsidRPr="00F21F0F">
        <w:rPr>
          <w:kern w:val="18"/>
        </w:rPr>
        <w:t xml:space="preserve"> Program, as designated from time to time by Buyer as being served by Buyer within the jurisdictional boundaries of the </w:t>
      </w:r>
      <w:r w:rsidR="0045664B">
        <w:rPr>
          <w:kern w:val="18"/>
        </w:rPr>
        <w:t>Count</w:t>
      </w:r>
      <w:r w:rsidR="00BE6993">
        <w:rPr>
          <w:kern w:val="18"/>
        </w:rPr>
        <w:t>ies of Los Angeles and Ventura</w:t>
      </w:r>
      <w:r w:rsidRPr="00F21F0F">
        <w:rPr>
          <w:kern w:val="18"/>
        </w:rPr>
        <w:t>.</w:t>
      </w:r>
    </w:p>
    <w:p w14:paraId="19E7BAE2" w14:textId="77777777" w:rsidR="00874C7A" w:rsidRDefault="008A4B14" w:rsidP="00F21F0F">
      <w:pPr>
        <w:pStyle w:val="BodyText2"/>
        <w:rPr>
          <w:kern w:val="18"/>
        </w:rPr>
      </w:pPr>
      <w:r w:rsidRPr="00F21F0F">
        <w:rPr>
          <w:kern w:val="18"/>
        </w:rPr>
        <w:t>“</w:t>
      </w:r>
      <w:r w:rsidRPr="00F21F0F">
        <w:rPr>
          <w:kern w:val="18"/>
          <w:u w:val="single"/>
        </w:rPr>
        <w:t>Delivery Period</w:t>
      </w:r>
      <w:r w:rsidRPr="00F21F0F">
        <w:rPr>
          <w:kern w:val="18"/>
        </w:rPr>
        <w:t>” shall be the period beginning on the Start Date and ending on the End Date, as set forth in Section 3 below.</w:t>
      </w:r>
    </w:p>
    <w:p w14:paraId="69F93C14" w14:textId="77777777" w:rsidR="00874C7A" w:rsidRDefault="008A4B14" w:rsidP="00F21F0F">
      <w:pPr>
        <w:pStyle w:val="BodyText2"/>
        <w:rPr>
          <w:kern w:val="18"/>
        </w:rPr>
      </w:pPr>
      <w:r w:rsidRPr="00F21F0F">
        <w:rPr>
          <w:kern w:val="18"/>
        </w:rPr>
        <w:t>“</w:t>
      </w:r>
      <w:r w:rsidRPr="00F21F0F">
        <w:rPr>
          <w:kern w:val="18"/>
          <w:u w:val="single"/>
        </w:rPr>
        <w:t>Delivery Point</w:t>
      </w:r>
      <w:r w:rsidRPr="00F21F0F">
        <w:rPr>
          <w:kern w:val="18"/>
        </w:rPr>
        <w:t>” has the meaning set forth in Section 4</w:t>
      </w:r>
      <w:r>
        <w:rPr>
          <w:kern w:val="18"/>
        </w:rPr>
        <w:t xml:space="preserve"> hereof</w:t>
      </w:r>
      <w:r w:rsidRPr="00F21F0F">
        <w:rPr>
          <w:kern w:val="18"/>
        </w:rPr>
        <w:t>.</w:t>
      </w:r>
    </w:p>
    <w:p w14:paraId="1982AC27" w14:textId="77777777" w:rsidR="00874C7A" w:rsidRDefault="008A4B14" w:rsidP="00F21F0F">
      <w:pPr>
        <w:pStyle w:val="BodyText2"/>
      </w:pPr>
      <w:r w:rsidRPr="00F21F0F">
        <w:rPr>
          <w:kern w:val="18"/>
        </w:rPr>
        <w:t>“</w:t>
      </w:r>
      <w:r w:rsidRPr="00F21F0F">
        <w:rPr>
          <w:kern w:val="18"/>
          <w:u w:val="single"/>
        </w:rPr>
        <w:t>Effective Date</w:t>
      </w:r>
      <w:r w:rsidRPr="00F21F0F">
        <w:rPr>
          <w:kern w:val="18"/>
        </w:rPr>
        <w:t xml:space="preserve">” </w:t>
      </w:r>
      <w:r>
        <w:rPr>
          <w:kern w:val="18"/>
        </w:rPr>
        <w:t>has</w:t>
      </w:r>
      <w:r w:rsidRPr="00F21F0F">
        <w:rPr>
          <w:kern w:val="18"/>
        </w:rPr>
        <w:t xml:space="preserve"> the </w:t>
      </w:r>
      <w:r>
        <w:rPr>
          <w:kern w:val="18"/>
        </w:rPr>
        <w:t>meaning set forth in the Reference Section</w:t>
      </w:r>
      <w:r w:rsidRPr="00F21F0F">
        <w:rPr>
          <w:kern w:val="18"/>
        </w:rPr>
        <w:t xml:space="preserve"> at the beginning of this Confirmation.</w:t>
      </w:r>
    </w:p>
    <w:p w14:paraId="45130253" w14:textId="77777777" w:rsidR="00874C7A" w:rsidRDefault="008A4B14" w:rsidP="00F21F0F">
      <w:pPr>
        <w:pStyle w:val="BodyText2"/>
        <w:rPr>
          <w:kern w:val="18"/>
        </w:rPr>
      </w:pPr>
      <w:r>
        <w:rPr>
          <w:kern w:val="18"/>
        </w:rPr>
        <w:t>“</w:t>
      </w:r>
      <w:r>
        <w:rPr>
          <w:kern w:val="18"/>
          <w:u w:val="single"/>
        </w:rPr>
        <w:t>Eligible Renewable Energy Resource</w:t>
      </w:r>
      <w:r>
        <w:rPr>
          <w:kern w:val="18"/>
        </w:rPr>
        <w:t>” or “</w:t>
      </w:r>
      <w:r>
        <w:rPr>
          <w:kern w:val="18"/>
          <w:u w:val="single"/>
        </w:rPr>
        <w:t>ERR</w:t>
      </w:r>
      <w:r>
        <w:rPr>
          <w:kern w:val="18"/>
        </w:rPr>
        <w:t>” means an Eligible Renewable Energy Resource as such term is defined in Public Utilities Code Section 399.12 or Section 399.16.</w:t>
      </w:r>
    </w:p>
    <w:p w14:paraId="054CFFCD" w14:textId="77777777" w:rsidR="00874C7A" w:rsidRDefault="008A4B14" w:rsidP="00874C7A">
      <w:pPr>
        <w:pStyle w:val="BodyText2"/>
      </w:pPr>
      <w:r>
        <w:rPr>
          <w:kern w:val="18"/>
        </w:rPr>
        <w:t>“</w:t>
      </w:r>
      <w:r>
        <w:rPr>
          <w:kern w:val="18"/>
          <w:u w:val="single"/>
        </w:rPr>
        <w:t>Energy</w:t>
      </w:r>
      <w:r>
        <w:rPr>
          <w:kern w:val="18"/>
        </w:rPr>
        <w:t xml:space="preserve">” means </w:t>
      </w:r>
      <w:r>
        <w:t>electrical energy, measured in MWh</w:t>
      </w:r>
      <w:r>
        <w:rPr>
          <w:kern w:val="18"/>
        </w:rPr>
        <w:t>.</w:t>
      </w:r>
    </w:p>
    <w:p w14:paraId="75FE002F" w14:textId="77777777" w:rsidR="00874C7A" w:rsidRDefault="008A4B14" w:rsidP="00F21F0F">
      <w:pPr>
        <w:pStyle w:val="BodyText2"/>
      </w:pPr>
      <w:r w:rsidRPr="00F21F0F">
        <w:rPr>
          <w:kern w:val="18"/>
        </w:rPr>
        <w:t>“</w:t>
      </w:r>
      <w:r w:rsidRPr="00F21F0F">
        <w:rPr>
          <w:kern w:val="18"/>
          <w:u w:val="single"/>
        </w:rPr>
        <w:t>Energy Contract Price</w:t>
      </w:r>
      <w:r w:rsidRPr="00F21F0F">
        <w:rPr>
          <w:kern w:val="18"/>
        </w:rPr>
        <w:t xml:space="preserve">” </w:t>
      </w:r>
      <w:r>
        <w:rPr>
          <w:kern w:val="18"/>
        </w:rPr>
        <w:t>means</w:t>
      </w:r>
      <w:r w:rsidRPr="00F21F0F">
        <w:rPr>
          <w:kern w:val="18"/>
        </w:rPr>
        <w:t xml:space="preserve"> the price ($/MWh) to be paid by Buyer to Seller for the Energy Contract Quantity delivered hereunder, as set forth on Exhibit A.</w:t>
      </w:r>
    </w:p>
    <w:p w14:paraId="2C5A0B6E" w14:textId="77777777" w:rsidR="00874C7A" w:rsidRPr="00F21F0F" w:rsidRDefault="008A4B14" w:rsidP="00F21F0F">
      <w:pPr>
        <w:pStyle w:val="BodyText2"/>
        <w:rPr>
          <w:kern w:val="18"/>
        </w:rPr>
      </w:pPr>
      <w:r w:rsidRPr="00F21F0F">
        <w:rPr>
          <w:kern w:val="18"/>
        </w:rPr>
        <w:t>“</w:t>
      </w:r>
      <w:r w:rsidRPr="00F21F0F">
        <w:rPr>
          <w:kern w:val="18"/>
          <w:u w:val="single"/>
        </w:rPr>
        <w:t>Energy Contract Quantity</w:t>
      </w:r>
      <w:r w:rsidRPr="00F21F0F">
        <w:rPr>
          <w:kern w:val="18"/>
        </w:rPr>
        <w:t xml:space="preserve">” </w:t>
      </w:r>
      <w:r>
        <w:rPr>
          <w:kern w:val="18"/>
        </w:rPr>
        <w:t>means</w:t>
      </w:r>
      <w:r w:rsidRPr="00F21F0F">
        <w:rPr>
          <w:kern w:val="18"/>
        </w:rPr>
        <w:t xml:space="preserve"> the quantity of Energy </w:t>
      </w:r>
      <w:r>
        <w:rPr>
          <w:kern w:val="18"/>
        </w:rPr>
        <w:t xml:space="preserve">set forth in Exhibit A, which will </w:t>
      </w:r>
      <w:r w:rsidRPr="00F21F0F">
        <w:rPr>
          <w:kern w:val="18"/>
        </w:rPr>
        <w:t xml:space="preserve">be delivered </w:t>
      </w:r>
      <w:r>
        <w:rPr>
          <w:kern w:val="18"/>
        </w:rPr>
        <w:t xml:space="preserve">to the CAISO </w:t>
      </w:r>
      <w:r w:rsidRPr="00F21F0F">
        <w:rPr>
          <w:kern w:val="18"/>
        </w:rPr>
        <w:t xml:space="preserve">by Seller </w:t>
      </w:r>
      <w:r>
        <w:rPr>
          <w:kern w:val="18"/>
        </w:rPr>
        <w:t>and scheduled with</w:t>
      </w:r>
      <w:r w:rsidRPr="00F21F0F">
        <w:rPr>
          <w:kern w:val="18"/>
        </w:rPr>
        <w:t xml:space="preserve"> Buyer as </w:t>
      </w:r>
      <w:r>
        <w:rPr>
          <w:kern w:val="18"/>
        </w:rPr>
        <w:t xml:space="preserve">an IST.  </w:t>
      </w:r>
    </w:p>
    <w:p w14:paraId="15753449" w14:textId="77777777" w:rsidR="00874C7A" w:rsidRDefault="008A4B14" w:rsidP="00F21F0F">
      <w:pPr>
        <w:pStyle w:val="BodyText2"/>
      </w:pPr>
      <w:r w:rsidRPr="00F21F0F">
        <w:rPr>
          <w:kern w:val="18"/>
        </w:rPr>
        <w:t>“</w:t>
      </w:r>
      <w:r w:rsidRPr="00F21F0F">
        <w:rPr>
          <w:kern w:val="18"/>
          <w:u w:val="single"/>
        </w:rPr>
        <w:t>Exhibits</w:t>
      </w:r>
      <w:r w:rsidRPr="00F21F0F">
        <w:rPr>
          <w:kern w:val="18"/>
        </w:rPr>
        <w:t>” shall be those certain Exhibits, which are attached hereto and made a part hereof.</w:t>
      </w:r>
    </w:p>
    <w:p w14:paraId="4C638646" w14:textId="77777777" w:rsidR="00874C7A" w:rsidRDefault="008A4B14" w:rsidP="00F21F0F">
      <w:pPr>
        <w:pStyle w:val="BodyText2"/>
      </w:pPr>
      <w:r w:rsidRPr="00F21F0F">
        <w:rPr>
          <w:kern w:val="18"/>
        </w:rPr>
        <w:t>“</w:t>
      </w:r>
      <w:r w:rsidRPr="00F21F0F">
        <w:rPr>
          <w:kern w:val="18"/>
          <w:u w:val="single"/>
        </w:rPr>
        <w:t>FERC</w:t>
      </w:r>
      <w:r w:rsidRPr="00F21F0F">
        <w:rPr>
          <w:kern w:val="18"/>
        </w:rPr>
        <w:t>” means the Federal Energy Regulatory Commission.</w:t>
      </w:r>
    </w:p>
    <w:p w14:paraId="2122F649" w14:textId="77777777" w:rsidR="00874C7A" w:rsidRDefault="008A4B14" w:rsidP="00F21F0F">
      <w:pPr>
        <w:pStyle w:val="BodyText2"/>
      </w:pPr>
      <w:r w:rsidRPr="00F21F0F">
        <w:rPr>
          <w:kern w:val="18"/>
        </w:rPr>
        <w:t>“</w:t>
      </w:r>
      <w:r w:rsidRPr="00F21F0F">
        <w:rPr>
          <w:kern w:val="18"/>
          <w:u w:val="single"/>
        </w:rPr>
        <w:t>GAAP</w:t>
      </w:r>
      <w:r w:rsidRPr="00F21F0F">
        <w:rPr>
          <w:kern w:val="18"/>
        </w:rPr>
        <w:t>” means generally accepted accounting principles as in effect from time to time in the United States.</w:t>
      </w:r>
    </w:p>
    <w:p w14:paraId="554F139A" w14:textId="77777777" w:rsidR="00874C7A" w:rsidRDefault="008A4B14" w:rsidP="00F21F0F">
      <w:pPr>
        <w:pStyle w:val="BodyText2"/>
      </w:pPr>
      <w:r w:rsidRPr="00F21F0F">
        <w:rPr>
          <w:kern w:val="18"/>
        </w:rPr>
        <w:t>“</w:t>
      </w:r>
      <w:r w:rsidRPr="00F21F0F">
        <w:rPr>
          <w:kern w:val="18"/>
          <w:u w:val="single"/>
        </w:rPr>
        <w:t>Governmental Authority</w:t>
      </w:r>
      <w:r w:rsidRPr="00F21F0F">
        <w:rPr>
          <w:kern w:val="18"/>
        </w:rPr>
        <w:t xml:space="preserve">” means any federal, state, local or municipal government, governmental department, commission, board, bureau, agency, or instrumentality, or any judicial, regulatory or administrative body, or the CAISO or any other transmission authority, having or asserting jurisdiction over a Party or the </w:t>
      </w:r>
      <w:r>
        <w:rPr>
          <w:kern w:val="18"/>
        </w:rPr>
        <w:t>Agreement</w:t>
      </w:r>
      <w:r w:rsidRPr="00F21F0F">
        <w:rPr>
          <w:kern w:val="18"/>
        </w:rPr>
        <w:t>.</w:t>
      </w:r>
    </w:p>
    <w:p w14:paraId="55AFE6EA" w14:textId="77777777" w:rsidR="00874C7A" w:rsidRDefault="008A4B14" w:rsidP="00F21F0F">
      <w:pPr>
        <w:pStyle w:val="BodyText2"/>
      </w:pPr>
      <w:r w:rsidRPr="00F21F0F">
        <w:rPr>
          <w:kern w:val="18"/>
        </w:rPr>
        <w:t>“</w:t>
      </w:r>
      <w:r w:rsidRPr="00F21F0F">
        <w:rPr>
          <w:kern w:val="18"/>
          <w:u w:val="single"/>
        </w:rPr>
        <w:t>Implementation Plan</w:t>
      </w:r>
      <w:r w:rsidRPr="00F21F0F">
        <w:rPr>
          <w:kern w:val="18"/>
        </w:rPr>
        <w:t xml:space="preserve">” has the meaning set forth in the </w:t>
      </w:r>
      <w:r>
        <w:rPr>
          <w:kern w:val="18"/>
        </w:rPr>
        <w:t>Recitals hereof</w:t>
      </w:r>
      <w:r w:rsidRPr="00F21F0F">
        <w:rPr>
          <w:kern w:val="18"/>
        </w:rPr>
        <w:t>.</w:t>
      </w:r>
    </w:p>
    <w:p w14:paraId="583A9565" w14:textId="77777777" w:rsidR="00874C7A" w:rsidRDefault="008A4B14" w:rsidP="00874C7A">
      <w:pPr>
        <w:ind w:firstLine="720"/>
      </w:pPr>
      <w:r w:rsidRPr="00295ED9">
        <w:t>“</w:t>
      </w:r>
      <w:r w:rsidRPr="00DD3CAB">
        <w:rPr>
          <w:u w:val="single"/>
        </w:rPr>
        <w:t>Inter-SC Trade</w:t>
      </w:r>
      <w:r>
        <w:t>” or “</w:t>
      </w:r>
      <w:r>
        <w:rPr>
          <w:u w:val="single"/>
        </w:rPr>
        <w:t>IST</w:t>
      </w:r>
      <w:r>
        <w:t>”</w:t>
      </w:r>
      <w:r w:rsidRPr="00295ED9">
        <w:t xml:space="preserve"> has the</w:t>
      </w:r>
      <w:r>
        <w:t xml:space="preserve"> meaning set forth in the Tariff.</w:t>
      </w:r>
    </w:p>
    <w:p w14:paraId="5A821D3B" w14:textId="77777777" w:rsidR="00515F0E" w:rsidRDefault="00561486">
      <w:pPr>
        <w:ind w:firstLine="720"/>
        <w:rPr>
          <w:kern w:val="18"/>
        </w:rPr>
      </w:pPr>
    </w:p>
    <w:p w14:paraId="4CA83C98" w14:textId="77777777" w:rsidR="00874C7A" w:rsidRDefault="008A4B14" w:rsidP="00F21F0F">
      <w:pPr>
        <w:pStyle w:val="BodyText2"/>
      </w:pPr>
      <w:r w:rsidRPr="00F21F0F">
        <w:rPr>
          <w:kern w:val="18"/>
        </w:rPr>
        <w:t>“</w:t>
      </w:r>
      <w:r w:rsidRPr="00F21F0F">
        <w:rPr>
          <w:kern w:val="18"/>
          <w:u w:val="single"/>
        </w:rPr>
        <w:t>Mandatory Reporting Rule</w:t>
      </w:r>
      <w:r w:rsidRPr="00F21F0F">
        <w:rPr>
          <w:kern w:val="18"/>
        </w:rPr>
        <w:t xml:space="preserve">” means the regulations entitled Mandatory Greenhouse Gas Emissions Reporting set forth </w:t>
      </w:r>
      <w:r>
        <w:rPr>
          <w:kern w:val="18"/>
        </w:rPr>
        <w:t>in</w:t>
      </w:r>
      <w:r w:rsidRPr="00F21F0F">
        <w:rPr>
          <w:kern w:val="18"/>
        </w:rPr>
        <w:t xml:space="preserve"> Article 2 of Subchapter 10 of Title 17 of the California Code of Regulations.</w:t>
      </w:r>
    </w:p>
    <w:p w14:paraId="6D297D17" w14:textId="77777777" w:rsidR="00874C7A" w:rsidRDefault="008A4B14" w:rsidP="00F21F0F">
      <w:pPr>
        <w:pStyle w:val="BodyText2"/>
        <w:rPr>
          <w:u w:val="single"/>
        </w:rPr>
      </w:pPr>
      <w:r w:rsidRPr="00F21F0F">
        <w:rPr>
          <w:kern w:val="18"/>
        </w:rPr>
        <w:t>“</w:t>
      </w:r>
      <w:r w:rsidRPr="00F21F0F">
        <w:rPr>
          <w:kern w:val="18"/>
          <w:u w:val="single"/>
        </w:rPr>
        <w:t>MW</w:t>
      </w:r>
      <w:r w:rsidRPr="00F21F0F">
        <w:rPr>
          <w:kern w:val="18"/>
        </w:rPr>
        <w:t>” means megawatt.</w:t>
      </w:r>
    </w:p>
    <w:p w14:paraId="6BB0CE71" w14:textId="77777777" w:rsidR="00874C7A" w:rsidRDefault="008A4B14" w:rsidP="00F21F0F">
      <w:pPr>
        <w:pStyle w:val="BodyText2"/>
        <w:rPr>
          <w:u w:val="single"/>
        </w:rPr>
      </w:pPr>
      <w:r w:rsidRPr="00F21F0F">
        <w:rPr>
          <w:kern w:val="18"/>
        </w:rPr>
        <w:t>“</w:t>
      </w:r>
      <w:r w:rsidRPr="00F21F0F">
        <w:rPr>
          <w:kern w:val="18"/>
          <w:u w:val="single"/>
        </w:rPr>
        <w:t>MWh</w:t>
      </w:r>
      <w:r w:rsidRPr="00F21F0F">
        <w:rPr>
          <w:kern w:val="18"/>
        </w:rPr>
        <w:t>” means megawatt-hour.</w:t>
      </w:r>
    </w:p>
    <w:p w14:paraId="78ECC540" w14:textId="77777777" w:rsidR="00874C7A" w:rsidRDefault="008A4B14" w:rsidP="00BE321C">
      <w:pPr>
        <w:pStyle w:val="BodyText2"/>
      </w:pPr>
      <w:r w:rsidRPr="00F21F0F">
        <w:rPr>
          <w:kern w:val="18"/>
        </w:rPr>
        <w:t>“</w:t>
      </w:r>
      <w:r w:rsidRPr="00F21F0F">
        <w:rPr>
          <w:kern w:val="18"/>
          <w:u w:val="single"/>
        </w:rPr>
        <w:t>Product</w:t>
      </w:r>
      <w:r w:rsidRPr="00F21F0F">
        <w:rPr>
          <w:kern w:val="18"/>
        </w:rPr>
        <w:t xml:space="preserve">” </w:t>
      </w:r>
      <w:r>
        <w:rPr>
          <w:kern w:val="18"/>
        </w:rPr>
        <w:t>has</w:t>
      </w:r>
      <w:r w:rsidRPr="00F21F0F">
        <w:rPr>
          <w:kern w:val="18"/>
        </w:rPr>
        <w:t xml:space="preserve"> the meaning set forth in Section 2.1 </w:t>
      </w:r>
      <w:r>
        <w:rPr>
          <w:kern w:val="18"/>
        </w:rPr>
        <w:t>hereof</w:t>
      </w:r>
      <w:r w:rsidRPr="00F21F0F">
        <w:rPr>
          <w:kern w:val="18"/>
        </w:rPr>
        <w:t>.</w:t>
      </w:r>
    </w:p>
    <w:p w14:paraId="2E58205D" w14:textId="77777777" w:rsidR="00874C7A" w:rsidRDefault="008A4B14" w:rsidP="00BE321C">
      <w:pPr>
        <w:pStyle w:val="BodyText2"/>
      </w:pPr>
      <w:r w:rsidRPr="00F21F0F">
        <w:rPr>
          <w:kern w:val="18"/>
        </w:rPr>
        <w:t>“</w:t>
      </w:r>
      <w:r w:rsidRPr="00F21F0F">
        <w:rPr>
          <w:kern w:val="18"/>
          <w:u w:val="single"/>
        </w:rPr>
        <w:t>Project</w:t>
      </w:r>
      <w:r w:rsidRPr="00F21F0F">
        <w:rPr>
          <w:kern w:val="18"/>
        </w:rPr>
        <w:t>” shall mean the Eligible Renewable Energy Resource(s) used to provide Renewable Energy hereunder.</w:t>
      </w:r>
    </w:p>
    <w:p w14:paraId="05DE49DC" w14:textId="77777777" w:rsidR="00962CD3" w:rsidRDefault="008A4B14" w:rsidP="00BE321C">
      <w:pPr>
        <w:widowControl w:val="0"/>
        <w:spacing w:after="240"/>
        <w:ind w:firstLine="720"/>
        <w:jc w:val="both"/>
      </w:pPr>
      <w:r w:rsidRPr="00A84259">
        <w:t>“</w:t>
      </w:r>
      <w:r w:rsidRPr="00A84259">
        <w:rPr>
          <w:u w:val="single"/>
        </w:rPr>
        <w:t>Prudent Industry Practices</w:t>
      </w:r>
      <w:r w:rsidRPr="00A84259">
        <w:t>” means any of the practices, methods, techniques and standards (including those that would be implemented and followed by a prudent operator of generating facilities similar to the Project(s) in the United States during the relevant time period) that, in the exercise of reasonable judgment in the light of the facts known at the time the decision was made, could reasonably have been expected to accomplish the desired result, giving due regard to manufacturers’ warranties and recommendations, contractual obligations, the requirements or guidance of Governmental Authority, including CAISO, Applicable Law</w:t>
      </w:r>
      <w:r>
        <w:rPr>
          <w:kern w:val="18"/>
        </w:rPr>
        <w:t>(s)</w:t>
      </w:r>
      <w:r w:rsidRPr="00A84259">
        <w:t xml:space="preserve">, the requirements of insurers, good business practices, economy, efficiency, reliability, and safety. </w:t>
      </w:r>
      <w:r w:rsidRPr="00FF5B33">
        <w:t xml:space="preserve">Prudent Industry </w:t>
      </w:r>
      <w:r>
        <w:t>Practices</w:t>
      </w:r>
      <w:r w:rsidRPr="00A84259">
        <w:t xml:space="preserve"> shall not be limited to the optimum practice, method, technique or standard to the exclusion of all others, but rather shall be a range of possible practices, methods, techniques or standards.</w:t>
      </w:r>
    </w:p>
    <w:p w14:paraId="3BC427A2" w14:textId="77777777" w:rsidR="00874C7A" w:rsidRPr="00F21F0F" w:rsidRDefault="008A4B14" w:rsidP="00962CD3">
      <w:pPr>
        <w:pStyle w:val="BodyText2"/>
      </w:pPr>
      <w:r w:rsidRPr="00F21F0F">
        <w:rPr>
          <w:kern w:val="18"/>
        </w:rPr>
        <w:t>“</w:t>
      </w:r>
      <w:r w:rsidRPr="00F21F0F">
        <w:rPr>
          <w:kern w:val="18"/>
          <w:u w:val="single"/>
        </w:rPr>
        <w:t>REC Vintage</w:t>
      </w:r>
      <w:r w:rsidRPr="00F21F0F">
        <w:rPr>
          <w:kern w:val="18"/>
        </w:rPr>
        <w:t xml:space="preserve">” </w:t>
      </w:r>
      <w:r>
        <w:rPr>
          <w:kern w:val="18"/>
        </w:rPr>
        <w:t>means the date of Energy generation found on a WREGIS Certificate</w:t>
      </w:r>
      <w:r w:rsidRPr="00F21F0F">
        <w:rPr>
          <w:kern w:val="18"/>
        </w:rPr>
        <w:t>.</w:t>
      </w:r>
    </w:p>
    <w:p w14:paraId="6F3139DB" w14:textId="77777777" w:rsidR="00874C7A" w:rsidRDefault="008A4B14" w:rsidP="00F21F0F">
      <w:pPr>
        <w:pStyle w:val="BodyText2"/>
      </w:pPr>
      <w:r w:rsidRPr="00F21F0F">
        <w:rPr>
          <w:kern w:val="18"/>
        </w:rPr>
        <w:t>“</w:t>
      </w:r>
      <w:r w:rsidRPr="00F21F0F">
        <w:rPr>
          <w:kern w:val="18"/>
          <w:u w:val="single"/>
        </w:rPr>
        <w:t>Renewable Energy</w:t>
      </w:r>
      <w:r w:rsidRPr="00F21F0F">
        <w:rPr>
          <w:kern w:val="18"/>
        </w:rPr>
        <w:t>” means Energy and associated Renewable Energy Credits generated by an Eligible Renewable Energy Resource.</w:t>
      </w:r>
    </w:p>
    <w:p w14:paraId="4E8575C0" w14:textId="77777777" w:rsidR="00874C7A" w:rsidRDefault="008A4B14" w:rsidP="00F21F0F">
      <w:pPr>
        <w:pStyle w:val="BodyText2"/>
      </w:pPr>
      <w:r w:rsidRPr="00F21F0F">
        <w:rPr>
          <w:kern w:val="18"/>
        </w:rPr>
        <w:t>“</w:t>
      </w:r>
      <w:r w:rsidRPr="00F21F0F">
        <w:rPr>
          <w:kern w:val="18"/>
          <w:u w:val="single"/>
        </w:rPr>
        <w:t>Renewable Energy Contract Price</w:t>
      </w:r>
      <w:r w:rsidRPr="00F21F0F">
        <w:rPr>
          <w:kern w:val="18"/>
        </w:rPr>
        <w:t>” shall mean the price ($/REC) to be paid by Buyer to Seller for Renewable Energy delivered hereunder, as set forth on Exhibit B.</w:t>
      </w:r>
    </w:p>
    <w:p w14:paraId="710335DE" w14:textId="77777777" w:rsidR="00874C7A" w:rsidRDefault="008A4B14" w:rsidP="00F21F0F">
      <w:pPr>
        <w:pStyle w:val="BodyText2"/>
      </w:pPr>
      <w:r w:rsidRPr="00F21F0F">
        <w:rPr>
          <w:kern w:val="18"/>
        </w:rPr>
        <w:t>“</w:t>
      </w:r>
      <w:r w:rsidRPr="00F21F0F">
        <w:rPr>
          <w:kern w:val="18"/>
          <w:u w:val="single"/>
        </w:rPr>
        <w:t>Renewable Energy Contract Quantity</w:t>
      </w:r>
      <w:r w:rsidRPr="00F21F0F">
        <w:rPr>
          <w:kern w:val="18"/>
        </w:rPr>
        <w:t>” shall mean the quantity of RECs to be delivered by Seller to Buyer hereunder, as set forth on Exhibit B.</w:t>
      </w:r>
    </w:p>
    <w:p w14:paraId="23366DCD" w14:textId="77777777" w:rsidR="00874C7A" w:rsidRDefault="008A4B14" w:rsidP="00F21F0F">
      <w:pPr>
        <w:pStyle w:val="BodyText2"/>
      </w:pPr>
      <w:r w:rsidRPr="00F21F0F">
        <w:rPr>
          <w:kern w:val="18"/>
        </w:rPr>
        <w:t>“</w:t>
      </w:r>
      <w:r w:rsidRPr="00F21F0F">
        <w:rPr>
          <w:kern w:val="18"/>
          <w:u w:val="single"/>
        </w:rPr>
        <w:t>Renewable Energy Credits</w:t>
      </w:r>
      <w:r w:rsidRPr="00F21F0F">
        <w:rPr>
          <w:kern w:val="18"/>
        </w:rPr>
        <w:t>” or “</w:t>
      </w:r>
      <w:r w:rsidRPr="00F21F0F">
        <w:rPr>
          <w:kern w:val="18"/>
          <w:u w:val="single"/>
        </w:rPr>
        <w:t>REC</w:t>
      </w:r>
      <w:r w:rsidRPr="00F21F0F">
        <w:rPr>
          <w:kern w:val="18"/>
        </w:rPr>
        <w:t>” has the meaning set forth in California Public Utilities Code Section 399.12(h) and CPUC Decision D.08-08-028, as applicable to the specific REC Vintage(s) transferred hereunder.</w:t>
      </w:r>
    </w:p>
    <w:p w14:paraId="7A1F1787" w14:textId="77777777" w:rsidR="00874C7A" w:rsidRDefault="008A4B14" w:rsidP="00F21F0F">
      <w:pPr>
        <w:pStyle w:val="BodyText2"/>
      </w:pPr>
      <w:r>
        <w:t>“</w:t>
      </w:r>
      <w:r w:rsidRPr="00EA0664">
        <w:rPr>
          <w:u w:val="single"/>
        </w:rPr>
        <w:t>RPS Adjustment</w:t>
      </w:r>
      <w:r>
        <w:t>” means the reduction in the Compliance Obligation of an electricity importer authorized by and calculated in accordance with section 95852 (b)(4) of the Cap and Trade Regulations and section 95111(b)(5) of the Mandatory Reporting Rule.</w:t>
      </w:r>
    </w:p>
    <w:p w14:paraId="15D68FE1" w14:textId="77777777" w:rsidR="00571C5C" w:rsidRDefault="00571C5C" w:rsidP="00571C5C">
      <w:pPr>
        <w:pStyle w:val="BodyText2"/>
      </w:pPr>
      <w:r>
        <w:t>“</w:t>
      </w:r>
      <w:r w:rsidRPr="00571C5C">
        <w:rPr>
          <w:u w:val="single"/>
        </w:rPr>
        <w:t>SCE</w:t>
      </w:r>
      <w:r>
        <w:t xml:space="preserve">” means </w:t>
      </w:r>
      <w:r>
        <w:rPr>
          <w:lang w:val="en"/>
        </w:rPr>
        <w:t xml:space="preserve">Southern California Edison, </w:t>
      </w:r>
      <w:r w:rsidRPr="00F21F0F">
        <w:rPr>
          <w:kern w:val="18"/>
        </w:rPr>
        <w:t>its successors and assigns.</w:t>
      </w:r>
    </w:p>
    <w:p w14:paraId="635A6BB3" w14:textId="77777777" w:rsidR="00BD0C16" w:rsidRDefault="008A4B14" w:rsidP="00BD0C16">
      <w:pPr>
        <w:pStyle w:val="BodyText2"/>
        <w:rPr>
          <w:u w:val="single"/>
        </w:rPr>
      </w:pPr>
      <w:r w:rsidRPr="00F21F0F">
        <w:rPr>
          <w:kern w:val="18"/>
        </w:rPr>
        <w:t>“</w:t>
      </w:r>
      <w:r w:rsidRPr="00F21F0F">
        <w:rPr>
          <w:kern w:val="18"/>
          <w:u w:val="single"/>
        </w:rPr>
        <w:t>Security Documents</w:t>
      </w:r>
      <w:r w:rsidRPr="00F21F0F">
        <w:rPr>
          <w:kern w:val="18"/>
        </w:rPr>
        <w:t>” has the meaning set forth in the Master Agreement.</w:t>
      </w:r>
    </w:p>
    <w:p w14:paraId="1EE29E60" w14:textId="77777777" w:rsidR="00F23713" w:rsidRDefault="008A4B14" w:rsidP="00BD0C16">
      <w:pPr>
        <w:pStyle w:val="BodyText2"/>
      </w:pPr>
      <w:r w:rsidRPr="00DE04AD">
        <w:rPr>
          <w:kern w:val="18"/>
        </w:rPr>
        <w:t>“</w:t>
      </w:r>
      <w:r w:rsidRPr="00DE04AD">
        <w:rPr>
          <w:kern w:val="18"/>
          <w:u w:val="single"/>
        </w:rPr>
        <w:t>Specified Sources of Power</w:t>
      </w:r>
      <w:r w:rsidRPr="00DE04AD">
        <w:rPr>
          <w:kern w:val="18"/>
        </w:rPr>
        <w:t xml:space="preserve">” means electricity that is traceable to a specific generation source by any auditable contract </w:t>
      </w:r>
      <w:r>
        <w:t>trail or equivalent, including a tradable commodity system, that provides commercial verification of the power source</w:t>
      </w:r>
      <w:r w:rsidRPr="00DE04AD">
        <w:rPr>
          <w:kern w:val="18"/>
        </w:rPr>
        <w:t>.</w:t>
      </w:r>
    </w:p>
    <w:p w14:paraId="76E29560" w14:textId="77777777" w:rsidR="00874C7A" w:rsidRDefault="008A4B14" w:rsidP="00F21F0F">
      <w:pPr>
        <w:pStyle w:val="BodyText2"/>
        <w:rPr>
          <w:kern w:val="18"/>
        </w:rPr>
      </w:pPr>
      <w:r w:rsidRPr="00F21F0F">
        <w:rPr>
          <w:kern w:val="18"/>
        </w:rPr>
        <w:t>“</w:t>
      </w:r>
      <w:r w:rsidRPr="00F21F0F">
        <w:rPr>
          <w:kern w:val="18"/>
          <w:u w:val="single"/>
        </w:rPr>
        <w:t>Tariff</w:t>
      </w:r>
      <w:r w:rsidRPr="00F21F0F">
        <w:rPr>
          <w:kern w:val="18"/>
        </w:rPr>
        <w:t>” means the tariff and protocol provisions, including any current CAISO-published “Operating Procedures” and “Business Practice Manuals,” as amended, supplemented or replaced by CAISO from time to time.</w:t>
      </w:r>
    </w:p>
    <w:p w14:paraId="6D896F2B" w14:textId="77777777" w:rsidR="00874C7A" w:rsidRDefault="008A4B14" w:rsidP="00F21F0F">
      <w:pPr>
        <w:pStyle w:val="BodyText2"/>
      </w:pPr>
      <w:r w:rsidRPr="00F21F0F">
        <w:rPr>
          <w:kern w:val="18"/>
        </w:rPr>
        <w:t>“</w:t>
      </w:r>
      <w:r w:rsidRPr="00F21F0F">
        <w:rPr>
          <w:kern w:val="18"/>
          <w:u w:val="single"/>
        </w:rPr>
        <w:t>Unspecified Sources of Power</w:t>
      </w:r>
      <w:r w:rsidRPr="00F21F0F">
        <w:rPr>
          <w:kern w:val="18"/>
        </w:rPr>
        <w:t xml:space="preserve">” means electricity that is not traceable to a specific generation source by any auditable contract </w:t>
      </w:r>
      <w:r>
        <w:t>trail or equivalent, including a tradable commodity system, that provides commercial verification that the electricity has been sold once and only once.</w:t>
      </w:r>
    </w:p>
    <w:p w14:paraId="4C7AC905" w14:textId="77777777" w:rsidR="00874C7A" w:rsidRDefault="008A4B14" w:rsidP="00F21F0F">
      <w:pPr>
        <w:pStyle w:val="BodyText2"/>
      </w:pPr>
      <w:r w:rsidRPr="00F21F0F">
        <w:rPr>
          <w:kern w:val="18"/>
        </w:rPr>
        <w:t>“</w:t>
      </w:r>
      <w:r w:rsidRPr="00F21F0F">
        <w:rPr>
          <w:kern w:val="18"/>
          <w:u w:val="single"/>
        </w:rPr>
        <w:t>WREGIS</w:t>
      </w:r>
      <w:r w:rsidRPr="00F21F0F">
        <w:rPr>
          <w:kern w:val="18"/>
        </w:rPr>
        <w:t>” means the Western Renewable Energy Generation Information System or any successor renewable energy tracking program.</w:t>
      </w:r>
    </w:p>
    <w:p w14:paraId="1D7E9D29" w14:textId="77777777" w:rsidR="00874C7A" w:rsidRDefault="008A4B14" w:rsidP="00F21F0F">
      <w:pPr>
        <w:pStyle w:val="BodyText2"/>
      </w:pPr>
      <w:r w:rsidRPr="00F21F0F">
        <w:rPr>
          <w:kern w:val="18"/>
        </w:rPr>
        <w:t>“</w:t>
      </w:r>
      <w:r w:rsidRPr="00F21F0F">
        <w:rPr>
          <w:kern w:val="18"/>
          <w:u w:val="single"/>
        </w:rPr>
        <w:t>WREGIS Certificate</w:t>
      </w:r>
      <w:r w:rsidRPr="00F21F0F">
        <w:rPr>
          <w:kern w:val="18"/>
        </w:rPr>
        <w:t>” means “Certificate” as defined by WREGIS in the WREGIS Operating Rules.</w:t>
      </w:r>
    </w:p>
    <w:p w14:paraId="1D5FE74B" w14:textId="77777777" w:rsidR="00874C7A" w:rsidRDefault="008A4B14" w:rsidP="00F21F0F">
      <w:pPr>
        <w:pStyle w:val="BodyText2"/>
      </w:pPr>
      <w:r w:rsidRPr="00F21F0F">
        <w:rPr>
          <w:kern w:val="18"/>
        </w:rPr>
        <w:t>“</w:t>
      </w:r>
      <w:r w:rsidRPr="00F21F0F">
        <w:rPr>
          <w:kern w:val="18"/>
          <w:u w:val="single"/>
        </w:rPr>
        <w:t>WREGIS Operating Rules</w:t>
      </w:r>
      <w:r w:rsidRPr="00F21F0F">
        <w:rPr>
          <w:kern w:val="18"/>
        </w:rPr>
        <w:t>” means the operating rules and requirements adopted by WREGIS.</w:t>
      </w:r>
    </w:p>
    <w:p w14:paraId="0338E0F9" w14:textId="77777777" w:rsidR="00874C7A" w:rsidRDefault="008A4B14" w:rsidP="00874C7A">
      <w:pPr>
        <w:pStyle w:val="Legal2L1"/>
      </w:pPr>
      <w:r w:rsidRPr="00F21F0F">
        <w:rPr>
          <w:b/>
          <w:kern w:val="18"/>
          <w:u w:val="single"/>
        </w:rPr>
        <w:t>PRODUCT</w:t>
      </w:r>
      <w:r w:rsidRPr="00F21F0F">
        <w:rPr>
          <w:kern w:val="18"/>
        </w:rPr>
        <w:t>.</w:t>
      </w:r>
    </w:p>
    <w:p w14:paraId="381B50D4" w14:textId="77777777" w:rsidR="00874C7A" w:rsidRPr="00F21F0F" w:rsidRDefault="008A4B14" w:rsidP="00874C7A">
      <w:pPr>
        <w:pStyle w:val="Legal2L2"/>
      </w:pPr>
      <w:r w:rsidRPr="00F21F0F">
        <w:rPr>
          <w:u w:val="single"/>
        </w:rPr>
        <w:t>Seller Delivery Obligation</w:t>
      </w:r>
      <w:r w:rsidRPr="00F21F0F">
        <w:t xml:space="preserve">. </w:t>
      </w:r>
      <w:r>
        <w:t xml:space="preserve"> </w:t>
      </w:r>
      <w:r w:rsidRPr="00F21F0F">
        <w:t xml:space="preserve">Throughout the Delivery Period, Seller </w:t>
      </w:r>
      <w:r>
        <w:t>shall sell and deliver or make available, or cause to be sold and delivered or made available to Buyer, the “</w:t>
      </w:r>
      <w:r>
        <w:rPr>
          <w:u w:val="single"/>
        </w:rPr>
        <w:t>Product</w:t>
      </w:r>
      <w:r>
        <w:t>,” which is comprised of one or more of the following:</w:t>
      </w:r>
    </w:p>
    <w:p w14:paraId="0AF89A7B" w14:textId="77777777" w:rsidR="00874C7A" w:rsidRPr="00F21F0F" w:rsidRDefault="008A4B14" w:rsidP="00874C7A">
      <w:pPr>
        <w:pStyle w:val="Legal2L3"/>
      </w:pPr>
      <w:r>
        <w:t>the quantity of Energy specified in Section 7.1;</w:t>
      </w:r>
    </w:p>
    <w:p w14:paraId="7E4B1368" w14:textId="77777777" w:rsidR="007E3AD5" w:rsidRDefault="008A4B14" w:rsidP="007E3AD5">
      <w:pPr>
        <w:pStyle w:val="Legal2L3"/>
      </w:pPr>
      <w:r>
        <w:t>the</w:t>
      </w:r>
      <w:r w:rsidRPr="00F21F0F">
        <w:t xml:space="preserve"> quantity of Renewable Energy </w:t>
      </w:r>
      <w:r>
        <w:t>specified</w:t>
      </w:r>
      <w:r w:rsidRPr="00F21F0F">
        <w:t xml:space="preserve"> in </w:t>
      </w:r>
      <w:r>
        <w:t>Section 7</w:t>
      </w:r>
      <w:r w:rsidRPr="00F21F0F">
        <w:t>.2</w:t>
      </w:r>
      <w:r>
        <w:t>;</w:t>
      </w:r>
      <w:r w:rsidRPr="00F21F0F">
        <w:t xml:space="preserve"> and</w:t>
      </w:r>
    </w:p>
    <w:p w14:paraId="21347BDD" w14:textId="77777777" w:rsidR="00874C7A" w:rsidRDefault="008A4B14" w:rsidP="007E3AD5">
      <w:pPr>
        <w:pStyle w:val="Legal2L3"/>
      </w:pPr>
      <w:r>
        <w:t>the quantity of Carbon Free Energy specified in Section 7.3.</w:t>
      </w:r>
    </w:p>
    <w:p w14:paraId="75808328" w14:textId="77777777" w:rsidR="00874C7A" w:rsidRDefault="008A4B14" w:rsidP="00874C7A">
      <w:pPr>
        <w:pStyle w:val="Legal2L2"/>
      </w:pPr>
      <w:r w:rsidRPr="00F21F0F">
        <w:rPr>
          <w:kern w:val="18"/>
          <w:u w:val="single"/>
        </w:rPr>
        <w:t>Change in Law</w:t>
      </w:r>
      <w:r w:rsidRPr="00F21F0F">
        <w:rPr>
          <w:kern w:val="18"/>
        </w:rPr>
        <w:t>.</w:t>
      </w:r>
    </w:p>
    <w:p w14:paraId="5E34865F" w14:textId="77777777" w:rsidR="00874C7A" w:rsidRDefault="008A4B14" w:rsidP="00F21F0F">
      <w:pPr>
        <w:pStyle w:val="BodyTextIndent"/>
      </w:pPr>
      <w:r>
        <w:t>If due to any action by the CPUC or any Governmental Authority, or any change in Applicable Law (a “</w:t>
      </w:r>
      <w:r>
        <w:rPr>
          <w:u w:val="single"/>
        </w:rPr>
        <w:t>Change in Law</w:t>
      </w:r>
      <w:r>
        <w:t xml:space="preserve">”) occurring after the Effective Date that results in material changes to Buyer’s or Seller’s obligations with regard to the Products sold hereunder and that has the effect of changing the transfer and sale procedure set forth in this Confirmation so that the implementation of this Confirmation becomes impossible or impracticable, or otherwise modifies the California RPS or language required to conform to the California RPS, the Parties shall work in good faith to try and revise this Confirmation so that the Parties can perform their obligations regarding the purchase and sale of Products sold hereunder </w:t>
      </w:r>
      <w:r>
        <w:rPr>
          <w:szCs w:val="18"/>
        </w:rPr>
        <w:t>or Buyer’s compliance with California RPS obligations in order to maintain the original intent of the Parties under this Confirmation.</w:t>
      </w:r>
      <w:r>
        <w:t xml:space="preserve">  In the event the Parties cannot reach agreement on any such amendments to this Confirmation within sixty (60) days following the Change in Law, to the extent practicable and lawful, Seller shall perform its obligations hereunder with regard to any Product hereunder </w:t>
      </w:r>
      <w:r>
        <w:rPr>
          <w:szCs w:val="18"/>
        </w:rPr>
        <w:t>or compliance with California RPS obligations</w:t>
      </w:r>
      <w:r>
        <w:t xml:space="preserve"> in accordance with the Applicable Law immediately prior to the Change in Law; provided, however, that notwithstanding the foregoing or anything to the contrary herein, Seller shall not be obligated to perform any obligation hereunder to the extent that doing so would cause Seller to be materially adversely affected.</w:t>
      </w:r>
      <w:r>
        <w:rPr>
          <w:szCs w:val="18"/>
        </w:rPr>
        <w:t xml:space="preserve">  These Change in Law provisions are independent of those set forth in the RPS Standard Terms and Conditions below.</w:t>
      </w:r>
    </w:p>
    <w:p w14:paraId="2013D9A2" w14:textId="77777777" w:rsidR="00874C7A" w:rsidRDefault="008A4B14" w:rsidP="00874C7A">
      <w:pPr>
        <w:pStyle w:val="Legal2L2"/>
      </w:pPr>
      <w:r w:rsidRPr="00F21F0F">
        <w:rPr>
          <w:kern w:val="18"/>
          <w:u w:val="single"/>
        </w:rPr>
        <w:t>RPS Standard Terms and Conditions</w:t>
      </w:r>
      <w:r w:rsidRPr="00F21F0F">
        <w:rPr>
          <w:kern w:val="18"/>
        </w:rPr>
        <w:t>.</w:t>
      </w:r>
    </w:p>
    <w:p w14:paraId="3490DDA4" w14:textId="77777777" w:rsidR="00874C7A" w:rsidRPr="00F21F0F" w:rsidRDefault="008A4B14" w:rsidP="00F21F0F">
      <w:pPr>
        <w:pStyle w:val="BodyTextIndent2"/>
        <w:rPr>
          <w:b/>
        </w:rPr>
      </w:pPr>
      <w:r>
        <w:rPr>
          <w:b/>
        </w:rPr>
        <w:t>STC 6:  Eligibility</w:t>
      </w:r>
    </w:p>
    <w:p w14:paraId="3493A27D" w14:textId="77777777" w:rsidR="00874C7A" w:rsidRDefault="008A4B14" w:rsidP="00F21F0F">
      <w:pPr>
        <w:pStyle w:val="BodyTextIndent2"/>
        <w:rPr>
          <w:color w:val="000000"/>
        </w:rPr>
      </w:pPr>
      <w:r>
        <w:rPr>
          <w:color w:val="000000"/>
        </w:rPr>
        <w:t>Seller,</w:t>
      </w:r>
      <w:r>
        <w:rPr>
          <w:color w:val="FF0000"/>
        </w:rPr>
        <w:t xml:space="preserve"> </w:t>
      </w:r>
      <w:r>
        <w:rPr>
          <w:color w:val="000000"/>
        </w:rPr>
        <w:t>and, if applicable, its successors, represents and warrants that throughout the Delivery Period of this Agreement that: (i) the Project qualifies and is certified by the CEC as an Eligible Renewable Energy Resource (“</w:t>
      </w:r>
      <w:r w:rsidRPr="00F21F0F">
        <w:rPr>
          <w:color w:val="000000"/>
        </w:rPr>
        <w:t>ERR</w:t>
      </w:r>
      <w:r>
        <w:rPr>
          <w:color w:val="000000"/>
        </w:rPr>
        <w:t>”) as such term is defined in Public Utilities Code Section 399.12 or Section 399.16; and (ii) the Project’s</w:t>
      </w:r>
      <w:r>
        <w:rPr>
          <w:color w:val="0000FF"/>
        </w:rPr>
        <w:t xml:space="preserve"> </w:t>
      </w:r>
      <w:r>
        <w:rPr>
          <w:color w:val="000000"/>
        </w:rPr>
        <w:t>output delivered to Buyer qualifies under the requirements of the California Renewables Portfolio Standard.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p>
    <w:p w14:paraId="1ECD5AF2" w14:textId="77777777" w:rsidR="00874C7A" w:rsidRDefault="008A4B14" w:rsidP="00F21F0F">
      <w:pPr>
        <w:pStyle w:val="BodyTextIndent2"/>
        <w:rPr>
          <w:b/>
        </w:rPr>
      </w:pPr>
      <w:r>
        <w:rPr>
          <w:b/>
        </w:rPr>
        <w:t>STC REC-1: Transfer of Renewable Energy Credits</w:t>
      </w:r>
    </w:p>
    <w:p w14:paraId="4726BEF8" w14:textId="77777777" w:rsidR="00874C7A" w:rsidRDefault="008A4B14" w:rsidP="00F21F0F">
      <w:pPr>
        <w:pStyle w:val="BodyTextIndent2"/>
      </w:pPr>
      <w:r>
        <w:t xml:space="preserve">Seller and, if applicable, its successors, represents and warrants that throughout the Delivery </w:t>
      </w:r>
      <w:r>
        <w:rPr>
          <w:color w:val="000000"/>
        </w:rPr>
        <w:t xml:space="preserve">Period </w:t>
      </w:r>
      <w:r>
        <w:t xml:space="preserve">of this </w:t>
      </w:r>
      <w:r>
        <w:rPr>
          <w:color w:val="000000"/>
        </w:rPr>
        <w:t xml:space="preserve">Agreement </w:t>
      </w:r>
      <w:r>
        <w:t xml:space="preserve">the renewable energy credits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To the extent a change in law occurs after execution of this </w:t>
      </w:r>
      <w:r>
        <w:rPr>
          <w:color w:val="000000"/>
        </w:rPr>
        <w:t xml:space="preserve">Agreement </w:t>
      </w:r>
      <w:r>
        <w:t>that causes this representation and warranty to be materially false or misleading, it shall not be an Event of Default if Seller has used commercially reasonable efforts to comply with such change in law.</w:t>
      </w:r>
    </w:p>
    <w:p w14:paraId="34790DC1" w14:textId="77777777" w:rsidR="00874C7A" w:rsidRDefault="008A4B14" w:rsidP="00F21F0F">
      <w:pPr>
        <w:pStyle w:val="BodyTextIndent2"/>
        <w:rPr>
          <w:b/>
        </w:rPr>
      </w:pPr>
      <w:r>
        <w:rPr>
          <w:b/>
        </w:rPr>
        <w:t>STC REC-2: Tracking of RECs in WREGIS</w:t>
      </w:r>
    </w:p>
    <w:p w14:paraId="231180E7" w14:textId="77777777" w:rsidR="00874C7A" w:rsidRDefault="008A4B14" w:rsidP="00F21F0F">
      <w:pPr>
        <w:pStyle w:val="BodyTextIndent2"/>
      </w:pPr>
      <w:r>
        <w:t xml:space="preserve">Seller warrants that all necessary steps to allow the Renewable Energy Credits transferred to Buyer to be tracked in the Western Renewable Energy Generation Information System will be taken prior to the first delivery under this </w:t>
      </w:r>
      <w:r>
        <w:rPr>
          <w:color w:val="000000"/>
        </w:rPr>
        <w:t>contract</w:t>
      </w:r>
      <w:r>
        <w:t>.</w:t>
      </w:r>
    </w:p>
    <w:p w14:paraId="718AE4F3" w14:textId="77777777" w:rsidR="002D10DB" w:rsidRPr="00875A19" w:rsidRDefault="008A4B14" w:rsidP="002D10DB">
      <w:pPr>
        <w:pStyle w:val="Legal2Cont2"/>
        <w:ind w:left="2160" w:firstLine="0"/>
        <w:rPr>
          <w:b/>
        </w:rPr>
      </w:pPr>
      <w:r w:rsidRPr="00875A19">
        <w:rPr>
          <w:b/>
        </w:rPr>
        <w:t>STC 17: Applicable Law</w:t>
      </w:r>
    </w:p>
    <w:p w14:paraId="787E1F9B" w14:textId="77777777" w:rsidR="002D10DB" w:rsidRPr="003518AF" w:rsidRDefault="008A4B14" w:rsidP="00603F41">
      <w:pPr>
        <w:pStyle w:val="Legal2Cont2"/>
        <w:ind w:left="2160" w:firstLine="0"/>
        <w:jc w:val="both"/>
      </w:pPr>
      <w:r>
        <w:t xml:space="preserve">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w:t>
      </w:r>
      <w:proofErr w:type="gramStart"/>
      <w:r>
        <w:t>in connection with</w:t>
      </w:r>
      <w:proofErr w:type="gramEnd"/>
      <w:r>
        <w:t xml:space="preserve"> this Agreement.</w:t>
      </w:r>
    </w:p>
    <w:p w14:paraId="198F7BB7" w14:textId="1843664F" w:rsidR="00874C7A" w:rsidRPr="003518AF" w:rsidRDefault="008A4B14" w:rsidP="00874C7A">
      <w:pPr>
        <w:pStyle w:val="Legal2L2"/>
      </w:pPr>
      <w:r w:rsidRPr="003518AF">
        <w:rPr>
          <w:u w:val="single"/>
        </w:rPr>
        <w:t>Resources</w:t>
      </w:r>
      <w:r w:rsidRPr="003518AF">
        <w:t xml:space="preserve">. </w:t>
      </w:r>
      <w:r>
        <w:t xml:space="preserve"> </w:t>
      </w:r>
      <w:r w:rsidRPr="00DE04AD">
        <w:t>For Renewable Energy and Carbon Free Energy delivered under this Confirmation, Seller shall use Specified Sources of Power</w:t>
      </w:r>
      <w:r w:rsidR="00E07486">
        <w:t xml:space="preserve">, as further detailed in Exhibit B &amp; C respectively; provided however, Seller may designate additional Specified Sources of Power upon 5 (five) days written notice to Buyer thereof; provided further any such additional Specified Sources of Power shall meet the requirement of Renewable Energy and Carbon Free Source as defined herein. </w:t>
      </w:r>
      <w:r w:rsidRPr="00DE04AD">
        <w:t xml:space="preserve">  For other Energy deliveries</w:t>
      </w:r>
      <w:r>
        <w:t xml:space="preserve"> hereunder</w:t>
      </w:r>
      <w:r w:rsidRPr="00DE04AD">
        <w:t xml:space="preserve">, if any, Seller may use </w:t>
      </w:r>
      <w:r w:rsidR="00B04417" w:rsidRPr="00DE04AD">
        <w:t xml:space="preserve">Specified Sources of Power </w:t>
      </w:r>
      <w:r w:rsidR="00B04417">
        <w:t xml:space="preserve">or </w:t>
      </w:r>
      <w:r w:rsidRPr="00DE04AD">
        <w:t>Unspecified Sources of Power</w:t>
      </w:r>
      <w:r>
        <w:t xml:space="preserve">; provided that </w:t>
      </w:r>
      <w:r w:rsidR="0048102D">
        <w:t xml:space="preserve">no Energy shall be </w:t>
      </w:r>
      <w:r w:rsidR="0048102D" w:rsidRPr="003518AF">
        <w:t>procured from unit-specific sources that are nuclear or coal-fired resource</w:t>
      </w:r>
      <w:r w:rsidR="0048102D">
        <w:t xml:space="preserve">s, and </w:t>
      </w:r>
      <w:r>
        <w:t xml:space="preserve">any </w:t>
      </w:r>
      <w:r w:rsidRPr="003518AF">
        <w:t xml:space="preserve">Energy </w:t>
      </w:r>
      <w:r>
        <w:t xml:space="preserve">delivered </w:t>
      </w:r>
      <w:r w:rsidRPr="003518AF">
        <w:t xml:space="preserve">under this Confirmation </w:t>
      </w:r>
      <w:r w:rsidR="0048102D">
        <w:t>from Specified Sources</w:t>
      </w:r>
      <w:r w:rsidRPr="003518AF">
        <w:t xml:space="preserve"> associated with </w:t>
      </w:r>
      <w:r w:rsidRPr="003518AF">
        <w:rPr>
          <w:color w:val="000000"/>
        </w:rPr>
        <w:t>Category 2 Renewable</w:t>
      </w:r>
      <w:r w:rsidRPr="003518AF">
        <w:t xml:space="preserve"> products</w:t>
      </w:r>
      <w:r w:rsidR="0048102D">
        <w:t xml:space="preserve"> shall be from Carbon Free Sources</w:t>
      </w:r>
      <w:r w:rsidRPr="003518AF">
        <w:t xml:space="preserve">.  </w:t>
      </w:r>
      <w:r>
        <w:rPr>
          <w:kern w:val="18"/>
        </w:rPr>
        <w:t>T</w:t>
      </w:r>
      <w:r w:rsidRPr="003518AF">
        <w:rPr>
          <w:kern w:val="18"/>
        </w:rPr>
        <w:t xml:space="preserve">he Energy supplied </w:t>
      </w:r>
      <w:proofErr w:type="gramStart"/>
      <w:r w:rsidRPr="003518AF">
        <w:rPr>
          <w:kern w:val="18"/>
        </w:rPr>
        <w:t>in connection with</w:t>
      </w:r>
      <w:proofErr w:type="gramEnd"/>
      <w:r w:rsidRPr="003518AF">
        <w:rPr>
          <w:kern w:val="18"/>
        </w:rPr>
        <w:t xml:space="preserve"> any Renewable Energy shall comply with applicable California RPS requirements for such Product.</w:t>
      </w:r>
    </w:p>
    <w:p w14:paraId="3089DF71" w14:textId="77777777" w:rsidR="00874C7A" w:rsidRPr="000950C5" w:rsidRDefault="008A4B14" w:rsidP="00874C7A">
      <w:pPr>
        <w:pStyle w:val="Legal2L2"/>
      </w:pPr>
      <w:r w:rsidRPr="00F21F0F">
        <w:rPr>
          <w:kern w:val="18"/>
          <w:u w:val="single"/>
        </w:rPr>
        <w:t>Delivery of WREGIS Certificates</w:t>
      </w:r>
      <w:r w:rsidRPr="00F21F0F">
        <w:rPr>
          <w:kern w:val="18"/>
        </w:rPr>
        <w:t>.</w:t>
      </w:r>
      <w:r>
        <w:rPr>
          <w:kern w:val="18"/>
        </w:rPr>
        <w:t xml:space="preserve"> </w:t>
      </w:r>
      <w:r w:rsidRPr="00F21F0F">
        <w:rPr>
          <w:kern w:val="18"/>
        </w:rPr>
        <w:t xml:space="preserve"> Throughout the Delivery Period, following generation of the Renewable Energy by the Project(s), Seller shall, at its sole expense, take all actions and execute all documents or instruments necessary to ensure that all WREGIS Certificates associated with the Renewable Energy Contract Quantity are issued and tracked for purposes of satisfying the requirements of the California Renewables Portfolio Standard for </w:t>
      </w:r>
      <w:r>
        <w:rPr>
          <w:kern w:val="18"/>
        </w:rPr>
        <w:t xml:space="preserve">Buyer.    </w:t>
      </w:r>
    </w:p>
    <w:p w14:paraId="344DC23A" w14:textId="77777777" w:rsidR="00874C7A" w:rsidRDefault="008A4B14" w:rsidP="00874C7A">
      <w:pPr>
        <w:pStyle w:val="Legal2L2"/>
        <w:numPr>
          <w:ilvl w:val="0"/>
          <w:numId w:val="0"/>
        </w:numPr>
        <w:ind w:left="1440"/>
        <w:rPr>
          <w:kern w:val="18"/>
        </w:rPr>
      </w:pPr>
      <w:r w:rsidRPr="00F21F0F">
        <w:rPr>
          <w:kern w:val="18"/>
        </w:rPr>
        <w:t xml:space="preserve">Seller shall comply with all Applicable </w:t>
      </w:r>
      <w:r>
        <w:rPr>
          <w:kern w:val="18"/>
        </w:rPr>
        <w:t>Law</w:t>
      </w:r>
      <w:r w:rsidRPr="00F21F0F">
        <w:rPr>
          <w:kern w:val="18"/>
        </w:rPr>
        <w:t xml:space="preserve">, including, without limitation, the WREGIS Operating Rules, regarding the certification and transfer of such WREGIS Certificates to Buyer and Buyer shall be given sole title to all such WREGIS Certificates. </w:t>
      </w:r>
      <w:r>
        <w:rPr>
          <w:kern w:val="18"/>
        </w:rPr>
        <w:t xml:space="preserve"> </w:t>
      </w:r>
      <w:r w:rsidRPr="00F21F0F">
        <w:rPr>
          <w:kern w:val="18"/>
        </w:rPr>
        <w:t xml:space="preserve">The Parties acknowledge and agree that, as of the Effective Date, the WREGIS Certificates associated with the Renewable Energy Contract Quantity for a month are not available for transfer to Buyer until approximately ninety (90) days after the end of such month. </w:t>
      </w:r>
      <w:r>
        <w:rPr>
          <w:kern w:val="18"/>
        </w:rPr>
        <w:t xml:space="preserve"> </w:t>
      </w:r>
      <w:r w:rsidRPr="00F21F0F">
        <w:rPr>
          <w:kern w:val="18"/>
        </w:rPr>
        <w:t xml:space="preserve">Seller shall transfer such WREGIS Certificates in a timely manner after such WREGIS Certificates are available for transfer to Buyer for Buyer’s sole benefit. </w:t>
      </w:r>
      <w:r>
        <w:rPr>
          <w:kern w:val="18"/>
        </w:rPr>
        <w:t xml:space="preserve"> </w:t>
      </w:r>
    </w:p>
    <w:p w14:paraId="2620EC2F" w14:textId="77777777" w:rsidR="00874C7A" w:rsidRDefault="008A4B14" w:rsidP="00874C7A">
      <w:pPr>
        <w:pStyle w:val="Legal2L2"/>
        <w:numPr>
          <w:ilvl w:val="0"/>
          <w:numId w:val="0"/>
        </w:numPr>
        <w:ind w:left="1440"/>
        <w:rPr>
          <w:kern w:val="18"/>
        </w:rPr>
      </w:pPr>
      <w:r w:rsidRPr="00F21F0F">
        <w:rPr>
          <w:kern w:val="18"/>
        </w:rPr>
        <w:t xml:space="preserve">Upon receiving written or electronic confirmation from WREGIS that a transfer order has been initiated by Seller, Buyer shall confirm such transfer order in WREGIS within fourteen (14) days to the extent that the WREGIS Certificates included in such transfer conform to the specifications reflected in this Confirmation. </w:t>
      </w:r>
      <w:r>
        <w:rPr>
          <w:kern w:val="18"/>
        </w:rPr>
        <w:t xml:space="preserve"> </w:t>
      </w:r>
      <w:r w:rsidRPr="00F21F0F">
        <w:rPr>
          <w:kern w:val="18"/>
        </w:rPr>
        <w:t xml:space="preserve">In the event that certain WREGIS Certificates fail to conform to the </w:t>
      </w:r>
      <w:r>
        <w:rPr>
          <w:kern w:val="18"/>
        </w:rPr>
        <w:t xml:space="preserve">applicable California RPS requirements or WREGIS </w:t>
      </w:r>
      <w:r w:rsidRPr="00F21F0F">
        <w:rPr>
          <w:kern w:val="18"/>
        </w:rPr>
        <w:t xml:space="preserve">specifications reflected in this Confirmation, Buyer shall be entitled to reject the transfer of any non-conforming WREGIS Certificates and Seller shall replace the non-conforming WREGIS Certificates with an equivalent amount of WREGIS Certificates </w:t>
      </w:r>
      <w:r>
        <w:rPr>
          <w:kern w:val="18"/>
        </w:rPr>
        <w:t xml:space="preserve">of the same REC Vintage (i.e. with WREGIS Certificates produced within the same calendar year) and </w:t>
      </w:r>
      <w:r w:rsidRPr="00F21F0F">
        <w:rPr>
          <w:kern w:val="18"/>
        </w:rPr>
        <w:t xml:space="preserve">that meet the </w:t>
      </w:r>
      <w:r>
        <w:rPr>
          <w:kern w:val="18"/>
        </w:rPr>
        <w:t xml:space="preserve">applicable California RPS requirements or WREGIS </w:t>
      </w:r>
      <w:r w:rsidRPr="00F21F0F">
        <w:rPr>
          <w:kern w:val="18"/>
        </w:rPr>
        <w:t>specifications reflected in this Confirmation</w:t>
      </w:r>
      <w:r>
        <w:rPr>
          <w:kern w:val="18"/>
        </w:rPr>
        <w:t xml:space="preserve">;  </w:t>
      </w:r>
    </w:p>
    <w:p w14:paraId="58119AFE" w14:textId="77777777" w:rsidR="00874C7A" w:rsidRDefault="008A4B14" w:rsidP="00F21F0F">
      <w:pPr>
        <w:pStyle w:val="Legal2L2"/>
        <w:numPr>
          <w:ilvl w:val="0"/>
          <w:numId w:val="0"/>
        </w:numPr>
        <w:ind w:left="1440"/>
      </w:pPr>
      <w:r w:rsidRPr="00F21F0F">
        <w:rPr>
          <w:kern w:val="18"/>
        </w:rPr>
        <w:t xml:space="preserve">Upon either Party’s receipt of notice from WREGIS that a transfer of WREGIS Certificates was not recognized, that Party will immediately notify the other Party, providing a copy of such notice, and both Parties will cooperate in taking such actions as are necessary and commercially reasonable to cause such transfer to be recognized and completed. </w:t>
      </w:r>
      <w:r>
        <w:rPr>
          <w:kern w:val="18"/>
        </w:rPr>
        <w:t xml:space="preserve"> </w:t>
      </w:r>
      <w:r w:rsidRPr="00F21F0F">
        <w:rPr>
          <w:kern w:val="18"/>
        </w:rPr>
        <w:t xml:space="preserve">Each Party agrees to provide copies of </w:t>
      </w:r>
      <w:r>
        <w:rPr>
          <w:kern w:val="18"/>
        </w:rPr>
        <w:t>its applicable reports</w:t>
      </w:r>
      <w:r w:rsidRPr="00F21F0F">
        <w:rPr>
          <w:kern w:val="18"/>
        </w:rPr>
        <w:t xml:space="preserve"> to the extent reasonably necessary for WREGIS to verify the accuracy of any fact, statement, charge or computation made pursuant hereto if requested by the other Party.</w:t>
      </w:r>
    </w:p>
    <w:p w14:paraId="3673ECE6" w14:textId="77777777" w:rsidR="002D2F60" w:rsidRDefault="008A4B14" w:rsidP="002D2F60">
      <w:pPr>
        <w:pStyle w:val="Legal2L2"/>
      </w:pPr>
      <w:r w:rsidRPr="008B4FF2">
        <w:rPr>
          <w:u w:val="single"/>
        </w:rPr>
        <w:t xml:space="preserve">Retirement of </w:t>
      </w:r>
      <w:proofErr w:type="spellStart"/>
      <w:r w:rsidRPr="008B4FF2">
        <w:rPr>
          <w:u w:val="single"/>
        </w:rPr>
        <w:t>RECs</w:t>
      </w:r>
      <w:r w:rsidRPr="008B4FF2">
        <w:t>.</w:t>
      </w:r>
      <w:proofErr w:type="spellEnd"/>
      <w:r w:rsidRPr="008B4FF2">
        <w:t xml:space="preserve">  To facilitate compliance with obligations of suppliers of Renewable Energy as first deliverers of electricity, as defined in Title 17, California Code of Regulations (“CCR”) Section 95802, to comply with mandatory greenhouse gas reporting requirements in Title 17 CCR Section 95101 with respect to such Renewable Energy, Buyer agrees to retire the RECs </w:t>
      </w:r>
      <w:r>
        <w:t xml:space="preserve">for compliance </w:t>
      </w:r>
      <w:r w:rsidRPr="008B4FF2">
        <w:t>purchased from Seller hereunder</w:t>
      </w:r>
      <w:r>
        <w:t xml:space="preserve"> no later than four months after the year in which they are produced</w:t>
      </w:r>
      <w:r w:rsidRPr="008B4FF2">
        <w:t xml:space="preserve"> for each renewable generation period </w:t>
      </w:r>
      <w:r>
        <w:t>in accordance with Title 17 CCR Section 95852(b)(3)(D) and to provide Seller with the WREGIS retirement report.</w:t>
      </w:r>
    </w:p>
    <w:p w14:paraId="1853F93E" w14:textId="77777777" w:rsidR="002D2F60" w:rsidRDefault="008A4B14" w:rsidP="002D2F60">
      <w:pPr>
        <w:pStyle w:val="BodyText"/>
        <w:ind w:firstLine="720"/>
      </w:pPr>
      <w:r>
        <w:t>2.7.</w:t>
      </w:r>
      <w:r>
        <w:tab/>
      </w:r>
      <w:r w:rsidRPr="0055753D">
        <w:rPr>
          <w:u w:val="single"/>
        </w:rPr>
        <w:t>Additional Terms and Conditions</w:t>
      </w:r>
    </w:p>
    <w:p w14:paraId="688D7026" w14:textId="77777777" w:rsidR="00AC1AC0" w:rsidRDefault="008A4B14" w:rsidP="007E3AD5">
      <w:pPr>
        <w:pStyle w:val="BodyText"/>
        <w:ind w:left="1440"/>
      </w:pPr>
      <w:r>
        <w:t>(1) Seller Representations and Warranties:  Seller represents and warrants:</w:t>
      </w:r>
    </w:p>
    <w:p w14:paraId="15145D97" w14:textId="77777777" w:rsidR="00AC1AC0" w:rsidRDefault="008A4B14" w:rsidP="007E3AD5">
      <w:pPr>
        <w:pStyle w:val="Legal2L3"/>
        <w:numPr>
          <w:ilvl w:val="2"/>
          <w:numId w:val="39"/>
        </w:numPr>
        <w:ind w:left="2880" w:hanging="720"/>
      </w:pPr>
      <w:r>
        <w:t>Seller has not sold the Product or any Program Attributes of the Product to be transferred to Buyer to any other person or entity;</w:t>
      </w:r>
    </w:p>
    <w:p w14:paraId="49572007" w14:textId="77777777" w:rsidR="00AC1AC0" w:rsidRPr="002D2F60" w:rsidRDefault="008A4B14" w:rsidP="007E3AD5">
      <w:pPr>
        <w:pStyle w:val="Legal2L3"/>
        <w:numPr>
          <w:ilvl w:val="2"/>
          <w:numId w:val="39"/>
        </w:numPr>
        <w:tabs>
          <w:tab w:val="left" w:pos="2970"/>
        </w:tabs>
        <w:ind w:left="2880" w:hanging="720"/>
      </w:pPr>
      <w:r w:rsidRPr="00AC1AC0">
        <w:t>For the sale of Renewable Energy and Carbon Free Energy, Seller receives compensation directly from the CAISO for energy imported or scheduled to the CAISO in real-time on Buyer’s behalf.</w:t>
      </w:r>
    </w:p>
    <w:p w14:paraId="2E7492E5" w14:textId="7A6E7175" w:rsidR="00874C7A" w:rsidRDefault="008A4B14" w:rsidP="00874C7A">
      <w:pPr>
        <w:pStyle w:val="Legal2L1"/>
        <w:rPr>
          <w:kern w:val="18"/>
        </w:rPr>
      </w:pPr>
      <w:r w:rsidRPr="00F21F0F">
        <w:rPr>
          <w:b/>
          <w:kern w:val="18"/>
          <w:u w:val="single"/>
        </w:rPr>
        <w:t>DELIVERY PERIOD</w:t>
      </w:r>
      <w:r w:rsidRPr="00F21F0F">
        <w:rPr>
          <w:kern w:val="18"/>
        </w:rPr>
        <w:t>.</w:t>
      </w:r>
      <w:r w:rsidRPr="00F21F0F">
        <w:rPr>
          <w:b/>
          <w:kern w:val="18"/>
        </w:rPr>
        <w:t xml:space="preserve"> </w:t>
      </w:r>
      <w:r>
        <w:rPr>
          <w:b/>
          <w:kern w:val="18"/>
        </w:rPr>
        <w:t xml:space="preserve"> </w:t>
      </w:r>
      <w:r w:rsidRPr="00F21F0F">
        <w:rPr>
          <w:kern w:val="18"/>
        </w:rPr>
        <w:t xml:space="preserve">This Confirmation shall be in full force and effect as of the Effective Date. </w:t>
      </w:r>
      <w:r>
        <w:rPr>
          <w:kern w:val="18"/>
        </w:rPr>
        <w:t xml:space="preserve"> </w:t>
      </w:r>
      <w:r w:rsidRPr="00F21F0F">
        <w:rPr>
          <w:kern w:val="18"/>
        </w:rPr>
        <w:t>The terms set forth herein shall apply from the Start Date through the End Date, which entire period will comprise the Delivery Period.</w:t>
      </w:r>
      <w:r>
        <w:rPr>
          <w:kern w:val="18"/>
        </w:rPr>
        <w:t xml:space="preserve"> </w:t>
      </w:r>
      <w:r w:rsidRPr="00F21F0F">
        <w:rPr>
          <w:kern w:val="18"/>
        </w:rPr>
        <w:t xml:space="preserve"> This Confirmation shall terminate on the date on which both Parties have completed the performance of their obligations hereunder, unless earlier terminated pursuant to the terms hereof</w:t>
      </w:r>
      <w:r>
        <w:rPr>
          <w:kern w:val="18"/>
        </w:rPr>
        <w:t>.</w:t>
      </w:r>
    </w:p>
    <w:p w14:paraId="7A0391A8" w14:textId="77777777" w:rsidR="00561486" w:rsidRPr="00561486" w:rsidRDefault="00561486" w:rsidP="00561486">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700"/>
      </w:tblGrid>
      <w:tr w:rsidR="00EB314E" w14:paraId="48FEBD60" w14:textId="77777777" w:rsidTr="00F21F0F">
        <w:trPr>
          <w:jc w:val="center"/>
        </w:trPr>
        <w:tc>
          <w:tcPr>
            <w:tcW w:w="2250" w:type="dxa"/>
          </w:tcPr>
          <w:p w14:paraId="493439AD" w14:textId="77777777" w:rsidR="00874C7A" w:rsidRPr="00F21F0F" w:rsidRDefault="008A4B14" w:rsidP="00F21F0F">
            <w:pPr>
              <w:spacing w:after="120"/>
              <w:jc w:val="center"/>
              <w:rPr>
                <w:b/>
              </w:rPr>
            </w:pPr>
            <w:r w:rsidRPr="00F21F0F">
              <w:rPr>
                <w:b/>
                <w:kern w:val="18"/>
              </w:rPr>
              <w:t>Start Date:</w:t>
            </w:r>
          </w:p>
        </w:tc>
        <w:tc>
          <w:tcPr>
            <w:tcW w:w="2700" w:type="dxa"/>
          </w:tcPr>
          <w:p w14:paraId="73957D8F" w14:textId="77777777" w:rsidR="00874C7A" w:rsidRPr="00F21F0F" w:rsidRDefault="008A4B14" w:rsidP="00F21F0F">
            <w:pPr>
              <w:spacing w:after="120"/>
              <w:jc w:val="center"/>
              <w:rPr>
                <w:b/>
              </w:rPr>
            </w:pPr>
            <w:r w:rsidRPr="00F21F0F">
              <w:rPr>
                <w:b/>
                <w:kern w:val="18"/>
              </w:rPr>
              <w:t>End Date:</w:t>
            </w:r>
          </w:p>
        </w:tc>
      </w:tr>
      <w:tr w:rsidR="00EB314E" w14:paraId="041D8BA8" w14:textId="77777777">
        <w:trPr>
          <w:jc w:val="center"/>
        </w:trPr>
        <w:tc>
          <w:tcPr>
            <w:tcW w:w="2250" w:type="dxa"/>
          </w:tcPr>
          <w:p w14:paraId="6FB3F166" w14:textId="77777777" w:rsidR="00874C7A" w:rsidRPr="00142957" w:rsidRDefault="00561486" w:rsidP="00F21F0F">
            <w:pPr>
              <w:spacing w:after="120"/>
              <w:jc w:val="center"/>
              <w:rPr>
                <w:highlight w:val="yellow"/>
              </w:rPr>
            </w:pPr>
          </w:p>
        </w:tc>
        <w:tc>
          <w:tcPr>
            <w:tcW w:w="2700" w:type="dxa"/>
          </w:tcPr>
          <w:p w14:paraId="6540DAFA" w14:textId="77777777" w:rsidR="00874C7A" w:rsidRPr="00142957" w:rsidRDefault="00561486" w:rsidP="00797E1A">
            <w:pPr>
              <w:spacing w:after="120"/>
              <w:jc w:val="center"/>
              <w:rPr>
                <w:highlight w:val="yellow"/>
              </w:rPr>
            </w:pPr>
          </w:p>
        </w:tc>
      </w:tr>
    </w:tbl>
    <w:p w14:paraId="7C834F8B" w14:textId="77777777" w:rsidR="00874C7A" w:rsidRDefault="008A4B14" w:rsidP="00561486">
      <w:pPr>
        <w:pStyle w:val="Legal2L1"/>
        <w:spacing w:before="240"/>
      </w:pPr>
      <w:r w:rsidRPr="00F21F0F">
        <w:rPr>
          <w:b/>
          <w:kern w:val="18"/>
          <w:u w:val="single"/>
        </w:rPr>
        <w:t>DELIVERY POINT</w:t>
      </w:r>
      <w:r w:rsidRPr="00F21F0F">
        <w:rPr>
          <w:kern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490"/>
      </w:tblGrid>
      <w:tr w:rsidR="00EB314E" w14:paraId="7905CDD1" w14:textId="77777777" w:rsidTr="00F21F0F">
        <w:trPr>
          <w:cantSplit/>
          <w:jc w:val="center"/>
        </w:trPr>
        <w:tc>
          <w:tcPr>
            <w:tcW w:w="2310" w:type="dxa"/>
            <w:vAlign w:val="center"/>
          </w:tcPr>
          <w:p w14:paraId="548F8B72" w14:textId="77777777" w:rsidR="00874C7A" w:rsidRDefault="008A4B14" w:rsidP="00F21F0F">
            <w:pPr>
              <w:spacing w:after="120"/>
              <w:jc w:val="center"/>
              <w:rPr>
                <w:b/>
              </w:rPr>
            </w:pPr>
            <w:r w:rsidRPr="00F21F0F">
              <w:rPr>
                <w:b/>
                <w:kern w:val="18"/>
              </w:rPr>
              <w:t>Product</w:t>
            </w:r>
          </w:p>
        </w:tc>
        <w:tc>
          <w:tcPr>
            <w:tcW w:w="2490" w:type="dxa"/>
            <w:vAlign w:val="center"/>
          </w:tcPr>
          <w:p w14:paraId="21E5694F" w14:textId="77777777" w:rsidR="00874C7A" w:rsidRDefault="008A4B14" w:rsidP="00F21F0F">
            <w:pPr>
              <w:spacing w:after="120"/>
              <w:jc w:val="center"/>
              <w:rPr>
                <w:b/>
              </w:rPr>
            </w:pPr>
            <w:r>
              <w:rPr>
                <w:b/>
                <w:kern w:val="18"/>
              </w:rPr>
              <w:t>Delivery Point</w:t>
            </w:r>
          </w:p>
        </w:tc>
      </w:tr>
      <w:tr w:rsidR="00EB314E" w14:paraId="672AD25B" w14:textId="77777777" w:rsidTr="00F21F0F">
        <w:trPr>
          <w:cantSplit/>
          <w:jc w:val="center"/>
        </w:trPr>
        <w:tc>
          <w:tcPr>
            <w:tcW w:w="2310" w:type="dxa"/>
          </w:tcPr>
          <w:p w14:paraId="6EB5CE1F" w14:textId="77777777" w:rsidR="00874C7A" w:rsidRDefault="008A4B14" w:rsidP="00F21F0F">
            <w:pPr>
              <w:spacing w:after="120"/>
              <w:jc w:val="center"/>
            </w:pPr>
            <w:r>
              <w:rPr>
                <w:kern w:val="18"/>
              </w:rPr>
              <w:t>Energy</w:t>
            </w:r>
          </w:p>
        </w:tc>
        <w:tc>
          <w:tcPr>
            <w:tcW w:w="2490" w:type="dxa"/>
          </w:tcPr>
          <w:p w14:paraId="4FB17D90" w14:textId="77777777" w:rsidR="00874C7A" w:rsidRDefault="008A4B14" w:rsidP="00F21F0F">
            <w:pPr>
              <w:spacing w:after="120"/>
              <w:jc w:val="center"/>
            </w:pPr>
            <w:r>
              <w:rPr>
                <w:kern w:val="18"/>
              </w:rPr>
              <w:t>TH_NP15_GEN-APND</w:t>
            </w:r>
          </w:p>
        </w:tc>
      </w:tr>
      <w:tr w:rsidR="00EB314E" w14:paraId="282ADA76" w14:textId="77777777" w:rsidTr="00F21F0F">
        <w:trPr>
          <w:cantSplit/>
          <w:jc w:val="center"/>
        </w:trPr>
        <w:tc>
          <w:tcPr>
            <w:tcW w:w="2310" w:type="dxa"/>
          </w:tcPr>
          <w:p w14:paraId="70D4CD1D" w14:textId="77777777" w:rsidR="00874C7A" w:rsidRPr="00F21F0F" w:rsidRDefault="008A4B14" w:rsidP="00F21F0F">
            <w:pPr>
              <w:spacing w:after="120"/>
              <w:jc w:val="center"/>
            </w:pPr>
            <w:r>
              <w:rPr>
                <w:kern w:val="18"/>
              </w:rPr>
              <w:t>Renewable Energy</w:t>
            </w:r>
          </w:p>
        </w:tc>
        <w:tc>
          <w:tcPr>
            <w:tcW w:w="2490" w:type="dxa"/>
          </w:tcPr>
          <w:p w14:paraId="2ECDCC7E" w14:textId="77777777" w:rsidR="00874C7A" w:rsidRPr="00F21F0F" w:rsidRDefault="008A4B14" w:rsidP="00F21F0F">
            <w:pPr>
              <w:spacing w:after="120"/>
              <w:jc w:val="center"/>
            </w:pPr>
            <w:r>
              <w:t>CAISO or a California Balancing Authority inside the California State boundaries</w:t>
            </w:r>
          </w:p>
        </w:tc>
      </w:tr>
      <w:tr w:rsidR="00EB314E" w14:paraId="27310160" w14:textId="77777777" w:rsidTr="00F21F0F">
        <w:trPr>
          <w:cantSplit/>
          <w:jc w:val="center"/>
        </w:trPr>
        <w:tc>
          <w:tcPr>
            <w:tcW w:w="2310" w:type="dxa"/>
          </w:tcPr>
          <w:p w14:paraId="0F0BAECC" w14:textId="77777777" w:rsidR="00874C7A" w:rsidRDefault="008A4B14" w:rsidP="00F21F0F">
            <w:pPr>
              <w:spacing w:after="120"/>
              <w:jc w:val="center"/>
            </w:pPr>
            <w:r>
              <w:rPr>
                <w:kern w:val="18"/>
              </w:rPr>
              <w:t xml:space="preserve">Carbon Free </w:t>
            </w:r>
            <w:r w:rsidRPr="00F21F0F">
              <w:rPr>
                <w:kern w:val="18"/>
              </w:rPr>
              <w:t>Energy</w:t>
            </w:r>
          </w:p>
        </w:tc>
        <w:tc>
          <w:tcPr>
            <w:tcW w:w="2490" w:type="dxa"/>
          </w:tcPr>
          <w:p w14:paraId="4E3D77FD" w14:textId="77777777" w:rsidR="00874C7A" w:rsidRPr="00F21F0F" w:rsidRDefault="008A4B14" w:rsidP="00F21F0F">
            <w:pPr>
              <w:spacing w:after="120"/>
              <w:jc w:val="center"/>
            </w:pPr>
            <w:r>
              <w:t>CAISO or a California Balancing Authority inside the California State boundaries</w:t>
            </w:r>
          </w:p>
        </w:tc>
      </w:tr>
    </w:tbl>
    <w:p w14:paraId="1E0E78E6" w14:textId="77777777" w:rsidR="00874C7A" w:rsidRDefault="00561486" w:rsidP="002930E1"/>
    <w:p w14:paraId="2C40CBCC" w14:textId="77777777" w:rsidR="00874C7A" w:rsidRPr="00085125" w:rsidRDefault="008A4B14" w:rsidP="000375B6">
      <w:pPr>
        <w:pStyle w:val="Legal2L1"/>
      </w:pPr>
      <w:r>
        <w:rPr>
          <w:b/>
          <w:u w:val="single"/>
        </w:rPr>
        <w:t>SCHEDULING</w:t>
      </w:r>
      <w:r w:rsidRPr="0055753D">
        <w:t>.</w:t>
      </w:r>
      <w:r w:rsidRPr="00EC2EA4">
        <w:t xml:space="preserve">  </w:t>
      </w:r>
      <w:r>
        <w:t xml:space="preserve">Seller will perform all scheduling requirements applicable to the transaction(s) contemplated under this Confirmation.  All scheduling shall be performed consistent with all applicable CAISO and WECC prevailing protocols.  The Energy </w:t>
      </w:r>
      <w:r w:rsidRPr="000375B6">
        <w:rPr>
          <w:kern w:val="18"/>
        </w:rPr>
        <w:t>will be scheduled to Buyer on a Day-Ahead basis using an Inter-SC Trade</w:t>
      </w:r>
      <w:r>
        <w:t xml:space="preserve"> (IST).  Unless otherwise mutually agreed between the Parties, Carbon Free Energy and Renewable Energy will be scheduled to the applicable delivery point without (an) IST</w:t>
      </w:r>
      <w:r>
        <w:rPr>
          <w:kern w:val="18"/>
        </w:rPr>
        <w:t>.</w:t>
      </w:r>
    </w:p>
    <w:p w14:paraId="4CD72C72" w14:textId="77777777" w:rsidR="00874C7A" w:rsidRDefault="008A4B14" w:rsidP="00874C7A">
      <w:pPr>
        <w:pStyle w:val="Legal2L1"/>
      </w:pPr>
      <w:r w:rsidRPr="00F21F0F">
        <w:rPr>
          <w:b/>
          <w:kern w:val="18"/>
          <w:u w:val="single"/>
        </w:rPr>
        <w:t>PRICING</w:t>
      </w:r>
      <w:r w:rsidRPr="00F21F0F">
        <w:rPr>
          <w:kern w:val="18"/>
        </w:rPr>
        <w:t>.</w:t>
      </w:r>
    </w:p>
    <w:p w14:paraId="75D0FB5C" w14:textId="77777777" w:rsidR="00874C7A" w:rsidRDefault="008A4B14" w:rsidP="00874C7A">
      <w:pPr>
        <w:pStyle w:val="Legal2L2"/>
      </w:pPr>
      <w:r w:rsidRPr="00F21F0F">
        <w:rPr>
          <w:kern w:val="18"/>
          <w:u w:val="single"/>
        </w:rPr>
        <w:t>Energy Contract Price and Payment</w:t>
      </w:r>
      <w:r w:rsidRPr="00F21F0F">
        <w:rPr>
          <w:kern w:val="18"/>
        </w:rPr>
        <w:t>.</w:t>
      </w:r>
      <w:r>
        <w:rPr>
          <w:kern w:val="18"/>
        </w:rPr>
        <w:t xml:space="preserve"> </w:t>
      </w:r>
      <w:r w:rsidRPr="00F21F0F">
        <w:rPr>
          <w:kern w:val="18"/>
        </w:rPr>
        <w:t xml:space="preserve"> For each month during the Delivery Period, Buyer will pay Seller an amount equal to the Energy Contract Quantity </w:t>
      </w:r>
      <w:r>
        <w:rPr>
          <w:kern w:val="18"/>
        </w:rPr>
        <w:t xml:space="preserve">delivered and scheduled in accordance with this Confirmation </w:t>
      </w:r>
      <w:r w:rsidRPr="00F21F0F">
        <w:rPr>
          <w:kern w:val="18"/>
        </w:rPr>
        <w:t xml:space="preserve">multiplied by the Energy Contract Price specified in </w:t>
      </w:r>
      <w:r w:rsidRPr="00F21F0F">
        <w:rPr>
          <w:kern w:val="18"/>
          <w:u w:val="single"/>
        </w:rPr>
        <w:t>Exhibit A</w:t>
      </w:r>
      <w:r w:rsidRPr="00F21F0F">
        <w:rPr>
          <w:kern w:val="18"/>
        </w:rPr>
        <w:t>.</w:t>
      </w:r>
    </w:p>
    <w:p w14:paraId="6D47F27A" w14:textId="77777777" w:rsidR="00874C7A" w:rsidRDefault="008A4B14" w:rsidP="00874C7A">
      <w:pPr>
        <w:pStyle w:val="Legal2L2"/>
      </w:pPr>
      <w:r w:rsidRPr="00F21F0F">
        <w:rPr>
          <w:kern w:val="18"/>
          <w:u w:val="single"/>
        </w:rPr>
        <w:t>Renewable Energy Contract Price and Payment</w:t>
      </w:r>
      <w:r w:rsidRPr="00F21F0F">
        <w:rPr>
          <w:kern w:val="18"/>
        </w:rPr>
        <w:t xml:space="preserve">. </w:t>
      </w:r>
      <w:r>
        <w:rPr>
          <w:kern w:val="18"/>
        </w:rPr>
        <w:t xml:space="preserve"> </w:t>
      </w:r>
      <w:r w:rsidRPr="00F21F0F">
        <w:rPr>
          <w:kern w:val="18"/>
        </w:rPr>
        <w:t>For each month during the Delivery Period, Buyer will pay Seller an amount equal to</w:t>
      </w:r>
      <w:r w:rsidR="007D5007">
        <w:rPr>
          <w:kern w:val="18"/>
        </w:rPr>
        <w:t xml:space="preserve"> </w:t>
      </w:r>
      <w:r w:rsidRPr="00F21F0F">
        <w:rPr>
          <w:kern w:val="18"/>
        </w:rPr>
        <w:t xml:space="preserve">the applicable Renewable Energy Contract Price as specified in </w:t>
      </w:r>
      <w:r w:rsidRPr="00F21F0F">
        <w:rPr>
          <w:kern w:val="18"/>
          <w:u w:val="single"/>
        </w:rPr>
        <w:t>Exhibit B</w:t>
      </w:r>
      <w:r w:rsidRPr="00F21F0F">
        <w:rPr>
          <w:kern w:val="18"/>
        </w:rPr>
        <w:t xml:space="preserve"> multiplied by the portion of the Renewable Energy Contract Quantity transferred from Seller to Buyer through WREGIS</w:t>
      </w:r>
      <w:r>
        <w:t>.</w:t>
      </w:r>
    </w:p>
    <w:p w14:paraId="7C2E2E79" w14:textId="621D4920" w:rsidR="00874C7A" w:rsidRDefault="008A4B14" w:rsidP="00874C7A">
      <w:pPr>
        <w:pStyle w:val="Legal2L2"/>
        <w:rPr>
          <w:kern w:val="18"/>
        </w:rPr>
      </w:pPr>
      <w:r w:rsidRPr="00F21F0F">
        <w:rPr>
          <w:kern w:val="18"/>
          <w:u w:val="single"/>
        </w:rPr>
        <w:t>Carbon Free Energy Price and Payment</w:t>
      </w:r>
      <w:r w:rsidRPr="00F21F0F">
        <w:rPr>
          <w:kern w:val="18"/>
        </w:rPr>
        <w:t>.</w:t>
      </w:r>
      <w:r>
        <w:rPr>
          <w:kern w:val="18"/>
        </w:rPr>
        <w:t xml:space="preserve"> </w:t>
      </w:r>
      <w:r w:rsidRPr="00F21F0F">
        <w:rPr>
          <w:kern w:val="18"/>
        </w:rPr>
        <w:t xml:space="preserve"> For each month during the Delivery Period, Buyer will pay Seller an amount equal to the Carbon Free Energy Contract Quantity delivered in such month multiplied by the Carbon Free Energy Price specified in </w:t>
      </w:r>
      <w:r w:rsidRPr="00F21F0F">
        <w:rPr>
          <w:kern w:val="18"/>
          <w:u w:val="single"/>
        </w:rPr>
        <w:t>Exhibit C</w:t>
      </w:r>
      <w:r>
        <w:rPr>
          <w:kern w:val="18"/>
        </w:rPr>
        <w:t>.</w:t>
      </w:r>
    </w:p>
    <w:p w14:paraId="188B3974" w14:textId="07B40DB1" w:rsidR="00561486" w:rsidRDefault="00561486" w:rsidP="00561486">
      <w:pPr>
        <w:pStyle w:val="BodyText"/>
      </w:pPr>
    </w:p>
    <w:p w14:paraId="217DEB70" w14:textId="77777777" w:rsidR="00561486" w:rsidRPr="00561486" w:rsidRDefault="00561486" w:rsidP="00561486">
      <w:pPr>
        <w:pStyle w:val="BodyText"/>
      </w:pPr>
    </w:p>
    <w:p w14:paraId="12B9D76A" w14:textId="77777777" w:rsidR="00874C7A" w:rsidRDefault="008A4B14" w:rsidP="00874C7A">
      <w:pPr>
        <w:pStyle w:val="Legal2L1"/>
      </w:pPr>
      <w:r w:rsidRPr="00F21F0F">
        <w:rPr>
          <w:b/>
          <w:kern w:val="18"/>
          <w:u w:val="single"/>
        </w:rPr>
        <w:t>CONTRACT QUANTITIES</w:t>
      </w:r>
      <w:r w:rsidRPr="00F21F0F">
        <w:rPr>
          <w:kern w:val="18"/>
        </w:rPr>
        <w:t>.</w:t>
      </w:r>
    </w:p>
    <w:p w14:paraId="7E89AFEE" w14:textId="77777777" w:rsidR="00874C7A" w:rsidRDefault="008A4B14" w:rsidP="00874C7A">
      <w:pPr>
        <w:pStyle w:val="Legal2L2"/>
      </w:pPr>
      <w:r w:rsidRPr="00F21F0F">
        <w:rPr>
          <w:kern w:val="18"/>
          <w:u w:val="single"/>
        </w:rPr>
        <w:t>Energy</w:t>
      </w:r>
      <w:r w:rsidRPr="00F21F0F">
        <w:rPr>
          <w:kern w:val="18"/>
        </w:rPr>
        <w:t>.</w:t>
      </w:r>
      <w:r>
        <w:rPr>
          <w:kern w:val="18"/>
        </w:rPr>
        <w:t xml:space="preserve"> </w:t>
      </w:r>
      <w:r w:rsidRPr="00F21F0F">
        <w:rPr>
          <w:kern w:val="18"/>
        </w:rPr>
        <w:t xml:space="preserve"> Energy Contract Quantities and the Energy Contract Prices pursuant to this Confirmation relate to the quantities set forth in </w:t>
      </w:r>
      <w:r w:rsidRPr="00F21F0F">
        <w:rPr>
          <w:kern w:val="18"/>
          <w:u w:val="single"/>
        </w:rPr>
        <w:t>Exhibit A</w:t>
      </w:r>
      <w:r w:rsidRPr="00F21F0F">
        <w:rPr>
          <w:kern w:val="18"/>
        </w:rPr>
        <w:t>.</w:t>
      </w:r>
    </w:p>
    <w:p w14:paraId="032F4709" w14:textId="77777777" w:rsidR="00874C7A" w:rsidRPr="00F21F0F" w:rsidRDefault="008A4B14" w:rsidP="00874C7A">
      <w:pPr>
        <w:pStyle w:val="Legal2L2"/>
        <w:rPr>
          <w:color w:val="000000"/>
        </w:rPr>
      </w:pPr>
      <w:r w:rsidRPr="00F21F0F">
        <w:rPr>
          <w:kern w:val="18"/>
          <w:u w:val="single"/>
        </w:rPr>
        <w:t>Renewable Energy</w:t>
      </w:r>
      <w:r w:rsidRPr="00F21F0F">
        <w:rPr>
          <w:kern w:val="18"/>
        </w:rPr>
        <w:t>.</w:t>
      </w:r>
      <w:r>
        <w:rPr>
          <w:kern w:val="18"/>
        </w:rPr>
        <w:t xml:space="preserve"> </w:t>
      </w:r>
      <w:r w:rsidRPr="00F21F0F">
        <w:rPr>
          <w:kern w:val="18"/>
        </w:rPr>
        <w:t xml:space="preserve"> Renewable Energy Contract Quantities and Renewable Energy Contract Prices pursuant to this Confirmation relate to the quantities set forth in </w:t>
      </w:r>
      <w:r w:rsidRPr="00F21F0F">
        <w:rPr>
          <w:kern w:val="18"/>
          <w:u w:val="single"/>
        </w:rPr>
        <w:t>Exhibit B</w:t>
      </w:r>
      <w:r w:rsidRPr="00F21F0F">
        <w:rPr>
          <w:kern w:val="18"/>
        </w:rPr>
        <w:t xml:space="preserve">. </w:t>
      </w:r>
      <w:r>
        <w:rPr>
          <w:kern w:val="18"/>
        </w:rPr>
        <w:t xml:space="preserve"> </w:t>
      </w:r>
      <w:r w:rsidRPr="00F21F0F">
        <w:rPr>
          <w:kern w:val="18"/>
        </w:rPr>
        <w:t xml:space="preserve">The Renewable Energy sold by Seller to Buyer shall also include all Renewable Energy Credits </w:t>
      </w:r>
      <w:r w:rsidRPr="00F21F0F">
        <w:rPr>
          <w:color w:val="000000"/>
          <w:kern w:val="18"/>
        </w:rPr>
        <w:t>associated with su</w:t>
      </w:r>
      <w:r w:rsidRPr="00F21F0F">
        <w:rPr>
          <w:color w:val="000000"/>
        </w:rPr>
        <w:t>ch Renewable Energy.</w:t>
      </w:r>
    </w:p>
    <w:p w14:paraId="47C4C444" w14:textId="77777777" w:rsidR="00874C7A" w:rsidRPr="00F21F0F" w:rsidRDefault="008A4B14" w:rsidP="00874C7A">
      <w:pPr>
        <w:pStyle w:val="Legal2L2"/>
        <w:rPr>
          <w:color w:val="000000"/>
        </w:rPr>
      </w:pPr>
      <w:r w:rsidRPr="00F21F0F">
        <w:rPr>
          <w:kern w:val="18"/>
          <w:u w:val="single"/>
        </w:rPr>
        <w:t>Carbon Free Energy</w:t>
      </w:r>
      <w:r w:rsidRPr="00F21F0F">
        <w:rPr>
          <w:kern w:val="18"/>
        </w:rPr>
        <w:t>.</w:t>
      </w:r>
      <w:r>
        <w:rPr>
          <w:kern w:val="18"/>
        </w:rPr>
        <w:t xml:space="preserve"> </w:t>
      </w:r>
      <w:r w:rsidRPr="00F21F0F">
        <w:rPr>
          <w:kern w:val="18"/>
        </w:rPr>
        <w:t xml:space="preserve"> Carbon Free Energy Contract Quantities and Carbon Free Energy Prices pursuant to this Confirmation relate to the quantities set forth in </w:t>
      </w:r>
      <w:r w:rsidRPr="00F21F0F">
        <w:rPr>
          <w:kern w:val="18"/>
          <w:u w:val="single"/>
        </w:rPr>
        <w:t>Exhibit C</w:t>
      </w:r>
      <w:r w:rsidRPr="00F21F0F">
        <w:rPr>
          <w:kern w:val="18"/>
        </w:rPr>
        <w:t>.</w:t>
      </w:r>
    </w:p>
    <w:p w14:paraId="62AA2DAF" w14:textId="77777777" w:rsidR="00874C7A" w:rsidRPr="00F21F0F" w:rsidRDefault="008A4B14" w:rsidP="00874C7A">
      <w:pPr>
        <w:pStyle w:val="Legal2L1"/>
      </w:pPr>
      <w:r w:rsidRPr="00F21F0F">
        <w:rPr>
          <w:b/>
          <w:u w:val="single"/>
        </w:rPr>
        <w:t>MONTHLY BILLING SETTLEMENT</w:t>
      </w:r>
      <w:r w:rsidRPr="0055753D">
        <w:t>.</w:t>
      </w:r>
    </w:p>
    <w:p w14:paraId="35A78045" w14:textId="77777777" w:rsidR="00874C7A" w:rsidRDefault="008A4B14" w:rsidP="00874C7A">
      <w:pPr>
        <w:pStyle w:val="Legal2L2"/>
      </w:pPr>
      <w:r w:rsidRPr="00F21F0F">
        <w:rPr>
          <w:u w:val="single"/>
        </w:rPr>
        <w:t>Collection of Customer Payments</w:t>
      </w:r>
      <w:r w:rsidRPr="00F21F0F">
        <w:t>.</w:t>
      </w:r>
      <w:r>
        <w:t xml:space="preserve"> </w:t>
      </w:r>
      <w:r w:rsidRPr="00F21F0F">
        <w:t xml:space="preserve"> In accordance with the Security Documents, Buyer shall direct </w:t>
      </w:r>
      <w:r w:rsidR="00571C5C">
        <w:t>SC</w:t>
      </w:r>
      <w:r w:rsidRPr="00F21F0F">
        <w:t xml:space="preserve">E to deposit into a lockbox account, </w:t>
      </w:r>
      <w:proofErr w:type="gramStart"/>
      <w:r w:rsidRPr="00F21F0F">
        <w:t>all of</w:t>
      </w:r>
      <w:proofErr w:type="gramEnd"/>
      <w:r w:rsidRPr="00F21F0F">
        <w:t xml:space="preserve"> the proceeds of a</w:t>
      </w:r>
      <w:r w:rsidRPr="00F21F0F">
        <w:rPr>
          <w:kern w:val="18"/>
        </w:rPr>
        <w:t xml:space="preserve">ll of the Customer account receipts (net of the amounts to be paid to </w:t>
      </w:r>
      <w:r w:rsidR="00571C5C">
        <w:rPr>
          <w:kern w:val="18"/>
        </w:rPr>
        <w:t>SC</w:t>
      </w:r>
      <w:r w:rsidRPr="00F21F0F">
        <w:rPr>
          <w:kern w:val="18"/>
        </w:rPr>
        <w:t xml:space="preserve">E) received from the sale of the Product to the Customers. </w:t>
      </w:r>
      <w:r>
        <w:rPr>
          <w:kern w:val="18"/>
        </w:rPr>
        <w:t xml:space="preserve"> </w:t>
      </w:r>
      <w:r w:rsidRPr="00F21F0F">
        <w:rPr>
          <w:kern w:val="18"/>
        </w:rPr>
        <w:t xml:space="preserve">Seller shall receive, in accordance with the Security Documents, payments for its invoices due and payable, and after Seller’s invoice is paid and agreed to </w:t>
      </w:r>
      <w:proofErr w:type="gramStart"/>
      <w:r w:rsidRPr="00F21F0F">
        <w:rPr>
          <w:kern w:val="18"/>
        </w:rPr>
        <w:t>reserves</w:t>
      </w:r>
      <w:proofErr w:type="gramEnd"/>
      <w:r w:rsidRPr="00F21F0F">
        <w:rPr>
          <w:kern w:val="18"/>
        </w:rPr>
        <w:t xml:space="preserve"> have been funded, the amounts remaining in such lockbox shall be immediately released to Buyer or its designee in accordance with the Security Documents. </w:t>
      </w:r>
      <w:r>
        <w:rPr>
          <w:kern w:val="18"/>
        </w:rPr>
        <w:t xml:space="preserve"> </w:t>
      </w:r>
      <w:r w:rsidRPr="00F21F0F">
        <w:rPr>
          <w:kern w:val="18"/>
        </w:rPr>
        <w:t>The Parties agree that the lockbox account shall be in the name of Buyer, and any interest earned thereon shall accrue to Buyer, as more fully set forth in the Security Documents.</w:t>
      </w:r>
    </w:p>
    <w:p w14:paraId="75F0ADE8" w14:textId="77777777" w:rsidR="00E07486" w:rsidRDefault="008A4B14" w:rsidP="00874C7A">
      <w:pPr>
        <w:pStyle w:val="Legal2L2"/>
      </w:pPr>
      <w:r w:rsidRPr="00F21F0F">
        <w:rPr>
          <w:kern w:val="18"/>
          <w:u w:val="single"/>
        </w:rPr>
        <w:t>Monthly Invoice Timeline</w:t>
      </w:r>
      <w:r w:rsidRPr="00F21F0F">
        <w:rPr>
          <w:kern w:val="18"/>
        </w:rPr>
        <w:t xml:space="preserve">. </w:t>
      </w:r>
      <w:r w:rsidR="002C4FC0">
        <w:rPr>
          <w:kern w:val="18"/>
        </w:rPr>
        <w:t xml:space="preserve"> </w:t>
      </w:r>
      <w:r w:rsidRPr="00F21F0F">
        <w:rPr>
          <w:kern w:val="18"/>
        </w:rPr>
        <w:t xml:space="preserve">Seller agrees to use commercially reasonable efforts to deliver each monthly invoice to Buyer not later than the </w:t>
      </w:r>
      <w:r w:rsidR="00D4458B">
        <w:rPr>
          <w:kern w:val="18"/>
        </w:rPr>
        <w:t>tenth</w:t>
      </w:r>
      <w:r w:rsidRPr="00F21F0F">
        <w:rPr>
          <w:kern w:val="18"/>
        </w:rPr>
        <w:t xml:space="preserve"> (</w:t>
      </w:r>
      <w:r w:rsidR="00D4458B">
        <w:rPr>
          <w:kern w:val="18"/>
        </w:rPr>
        <w:t>10t</w:t>
      </w:r>
      <w:r w:rsidRPr="00F21F0F">
        <w:rPr>
          <w:kern w:val="18"/>
        </w:rPr>
        <w:t>h) day of each month for the previous calendar month.</w:t>
      </w:r>
      <w:r>
        <w:rPr>
          <w:kern w:val="18"/>
        </w:rPr>
        <w:t> </w:t>
      </w:r>
      <w:r w:rsidRPr="00F21F0F">
        <w:rPr>
          <w:kern w:val="18"/>
        </w:rPr>
        <w:t xml:space="preserve"> </w:t>
      </w:r>
      <w:r w:rsidR="00D4458B">
        <w:t>T</w:t>
      </w:r>
      <w:r w:rsidRPr="00F21F0F">
        <w:rPr>
          <w:kern w:val="18"/>
        </w:rPr>
        <w:t>he Parties hereby agree that all invoices u</w:t>
      </w:r>
      <w:r w:rsidRPr="00F21F0F">
        <w:t>n</w:t>
      </w:r>
      <w:r w:rsidRPr="00F21F0F">
        <w:rPr>
          <w:kern w:val="18"/>
        </w:rPr>
        <w:t>der this Confirmation shall be due and payable on the twenty-</w:t>
      </w:r>
      <w:r w:rsidR="00D4458B">
        <w:rPr>
          <w:kern w:val="18"/>
        </w:rPr>
        <w:t>third</w:t>
      </w:r>
      <w:r w:rsidRPr="00F21F0F">
        <w:rPr>
          <w:kern w:val="18"/>
        </w:rPr>
        <w:t xml:space="preserve"> (2</w:t>
      </w:r>
      <w:r w:rsidR="00D4458B">
        <w:rPr>
          <w:kern w:val="18"/>
        </w:rPr>
        <w:t>3rd</w:t>
      </w:r>
      <w:r w:rsidRPr="00F21F0F">
        <w:rPr>
          <w:kern w:val="18"/>
        </w:rPr>
        <w:t>) day of the month following the month in which Seller delivered such invoice, provided that if such day is not a Business Day, then such invoice will be due and payable on the next Business Day that occurs after the twenty-</w:t>
      </w:r>
      <w:r w:rsidR="00D4458B">
        <w:rPr>
          <w:kern w:val="18"/>
        </w:rPr>
        <w:t>third</w:t>
      </w:r>
      <w:r w:rsidRPr="00F21F0F">
        <w:rPr>
          <w:kern w:val="18"/>
        </w:rPr>
        <w:t xml:space="preserve"> (2</w:t>
      </w:r>
      <w:r w:rsidR="00D4458B">
        <w:rPr>
          <w:kern w:val="18"/>
        </w:rPr>
        <w:t>3rd</w:t>
      </w:r>
      <w:r w:rsidRPr="00F21F0F">
        <w:rPr>
          <w:kern w:val="18"/>
        </w:rPr>
        <w:t>) day of the month.</w:t>
      </w:r>
      <w:r w:rsidR="00E07486">
        <w:rPr>
          <w:kern w:val="18"/>
        </w:rPr>
        <w:t xml:space="preserve"> </w:t>
      </w:r>
      <w:r w:rsidR="002C4FC0">
        <w:rPr>
          <w:kern w:val="18"/>
        </w:rPr>
        <w:t xml:space="preserve"> </w:t>
      </w:r>
    </w:p>
    <w:p w14:paraId="2D4C8B21" w14:textId="77777777" w:rsidR="00874C7A" w:rsidRDefault="00E07486" w:rsidP="003D6784">
      <w:pPr>
        <w:pStyle w:val="Legal2L2"/>
      </w:pPr>
      <w:r>
        <w:rPr>
          <w:u w:val="single"/>
        </w:rPr>
        <w:t xml:space="preserve">Specified Source of </w:t>
      </w:r>
      <w:r w:rsidR="000D6968">
        <w:rPr>
          <w:u w:val="single"/>
        </w:rPr>
        <w:t>Power</w:t>
      </w:r>
      <w:r w:rsidRPr="00483BA3">
        <w:t xml:space="preserve">.  </w:t>
      </w:r>
      <w:r w:rsidRPr="00701177">
        <w:t xml:space="preserve">Seller shall deliver the </w:t>
      </w:r>
      <w:r>
        <w:t xml:space="preserve">Specified Source of </w:t>
      </w:r>
      <w:r w:rsidR="000D6968">
        <w:t>Power</w:t>
      </w:r>
      <w:r>
        <w:t xml:space="preserve"> associated with the Renewable Energy and Carbon Free Energy </w:t>
      </w:r>
      <w:r w:rsidRPr="00701177">
        <w:t xml:space="preserve">to the CAISO at the Delivery Point and shall be entitled to retain all CAISO revenues associated with such </w:t>
      </w:r>
      <w:r w:rsidR="000D6968">
        <w:t>delivery</w:t>
      </w:r>
      <w:r w:rsidRPr="00701177">
        <w:t>.</w:t>
      </w:r>
    </w:p>
    <w:p w14:paraId="6C822F8D" w14:textId="77777777" w:rsidR="00874C7A" w:rsidRDefault="008A4B14" w:rsidP="00874C7A">
      <w:pPr>
        <w:pStyle w:val="Legal2L1"/>
      </w:pPr>
      <w:r w:rsidRPr="00F21F0F">
        <w:rPr>
          <w:b/>
          <w:kern w:val="18"/>
          <w:u w:val="single"/>
        </w:rPr>
        <w:t>COMPLIANCE REPORTING</w:t>
      </w:r>
      <w:r w:rsidRPr="0055753D">
        <w:rPr>
          <w:kern w:val="18"/>
        </w:rPr>
        <w:t>.</w:t>
      </w:r>
      <w:r w:rsidRPr="00F21F0F">
        <w:rPr>
          <w:kern w:val="18"/>
        </w:rPr>
        <w:t xml:space="preserve"> </w:t>
      </w:r>
      <w:r>
        <w:rPr>
          <w:kern w:val="18"/>
        </w:rPr>
        <w:t xml:space="preserve"> </w:t>
      </w:r>
      <w:r w:rsidRPr="00F21F0F">
        <w:rPr>
          <w:kern w:val="18"/>
        </w:rPr>
        <w:t xml:space="preserve">Buyer shall be responsible for submitting compliance reports to the CPUC and/or other Governmental Authorities on </w:t>
      </w:r>
      <w:r>
        <w:rPr>
          <w:kern w:val="18"/>
        </w:rPr>
        <w:t xml:space="preserve">its own behalf </w:t>
      </w:r>
      <w:r w:rsidRPr="00F21F0F">
        <w:rPr>
          <w:kern w:val="18"/>
        </w:rPr>
        <w:t>and will require resource information, electronic tagging information, and other documentation to be provided by Seller.</w:t>
      </w:r>
      <w:r>
        <w:rPr>
          <w:kern w:val="18"/>
        </w:rPr>
        <w:t xml:space="preserve">  </w:t>
      </w:r>
      <w:r w:rsidRPr="00F21F0F">
        <w:rPr>
          <w:kern w:val="18"/>
        </w:rPr>
        <w:t xml:space="preserve">Seller shall provide all </w:t>
      </w:r>
      <w:r>
        <w:rPr>
          <w:kern w:val="18"/>
        </w:rPr>
        <w:t>reasonable information</w:t>
      </w:r>
      <w:r w:rsidRPr="00F21F0F">
        <w:rPr>
          <w:kern w:val="18"/>
        </w:rPr>
        <w:t xml:space="preserve"> to Buyer necessary for Buyer to timely comply with periodic compliance reporting requirements and as otherwise required by Applicable Law with respect to any Product.</w:t>
      </w:r>
    </w:p>
    <w:p w14:paraId="596727C3" w14:textId="77777777" w:rsidR="00874C7A" w:rsidRPr="00F21F0F" w:rsidRDefault="008A4B14" w:rsidP="00874C7A">
      <w:pPr>
        <w:pStyle w:val="Legal2L1"/>
        <w:rPr>
          <w:color w:val="000000"/>
        </w:rPr>
      </w:pPr>
      <w:r>
        <w:rPr>
          <w:b/>
          <w:kern w:val="18"/>
          <w:u w:val="single"/>
        </w:rPr>
        <w:t>NO RESTRICTION</w:t>
      </w:r>
      <w:r w:rsidRPr="0055753D">
        <w:rPr>
          <w:kern w:val="18"/>
        </w:rPr>
        <w:t>.</w:t>
      </w:r>
      <w:r>
        <w:rPr>
          <w:b/>
          <w:kern w:val="18"/>
        </w:rPr>
        <w:t xml:space="preserve"> </w:t>
      </w:r>
      <w:r w:rsidRPr="00F21F0F">
        <w:rPr>
          <w:b/>
          <w:kern w:val="18"/>
        </w:rPr>
        <w:t xml:space="preserve"> </w:t>
      </w:r>
      <w:r w:rsidRPr="00F21F0F">
        <w:rPr>
          <w:kern w:val="18"/>
        </w:rPr>
        <w:t xml:space="preserve">Nothing in this Confirmation shall limit Buyer’s ability to develop its own generation facilities </w:t>
      </w:r>
      <w:r>
        <w:rPr>
          <w:kern w:val="18"/>
        </w:rPr>
        <w:t>or prevent Buyer from purchasing</w:t>
      </w:r>
      <w:r w:rsidRPr="00F21F0F">
        <w:rPr>
          <w:kern w:val="18"/>
        </w:rPr>
        <w:t xml:space="preserve"> </w:t>
      </w:r>
      <w:r>
        <w:t>Energy</w:t>
      </w:r>
      <w:r w:rsidRPr="00F21F0F">
        <w:rPr>
          <w:kern w:val="18"/>
        </w:rPr>
        <w:t xml:space="preserve"> from other parties </w:t>
      </w:r>
      <w:r>
        <w:rPr>
          <w:kern w:val="18"/>
        </w:rPr>
        <w:t>or prevent Seller from selling</w:t>
      </w:r>
      <w:r w:rsidRPr="00F21F0F">
        <w:rPr>
          <w:kern w:val="18"/>
        </w:rPr>
        <w:t xml:space="preserve"> </w:t>
      </w:r>
      <w:r>
        <w:t>Energy</w:t>
      </w:r>
      <w:r w:rsidRPr="00F21F0F">
        <w:rPr>
          <w:kern w:val="18"/>
        </w:rPr>
        <w:t xml:space="preserve"> to other </w:t>
      </w:r>
      <w:r>
        <w:rPr>
          <w:kern w:val="18"/>
        </w:rPr>
        <w:t>parties</w:t>
      </w:r>
      <w:r>
        <w:t>; provided, however, that Buyer shall remain responsible to pay Seller for the Contract Quantities represented in Exhibits A, B and C</w:t>
      </w:r>
      <w:r w:rsidRPr="008B4FF2">
        <w:t>.</w:t>
      </w:r>
    </w:p>
    <w:p w14:paraId="656D4146" w14:textId="77777777" w:rsidR="00874C7A" w:rsidRDefault="008A4B14" w:rsidP="00874C7A">
      <w:pPr>
        <w:pStyle w:val="Legal2L1"/>
        <w:rPr>
          <w:kern w:val="18"/>
        </w:rPr>
      </w:pPr>
      <w:r w:rsidRPr="00F21F0F">
        <w:rPr>
          <w:b/>
          <w:caps/>
          <w:kern w:val="18"/>
          <w:u w:val="single"/>
        </w:rPr>
        <w:t>standard of care and good faith</w:t>
      </w:r>
      <w:r w:rsidRPr="0055753D">
        <w:rPr>
          <w:kern w:val="18"/>
        </w:rPr>
        <w:t>.</w:t>
      </w:r>
      <w:r>
        <w:rPr>
          <w:kern w:val="18"/>
        </w:rPr>
        <w:t xml:space="preserve"> </w:t>
      </w:r>
      <w:r w:rsidRPr="00F21F0F">
        <w:rPr>
          <w:kern w:val="18"/>
        </w:rPr>
        <w:t xml:space="preserve"> When performing its obligations hereunder, Seller shall act in good faith and shall perform all work in a manner consistent with Prudent </w:t>
      </w:r>
      <w:r>
        <w:rPr>
          <w:kern w:val="18"/>
        </w:rPr>
        <w:t>Industry</w:t>
      </w:r>
      <w:r w:rsidRPr="00F21F0F">
        <w:rPr>
          <w:kern w:val="18"/>
        </w:rPr>
        <w:t xml:space="preserve"> Practices.</w:t>
      </w:r>
    </w:p>
    <w:p w14:paraId="2B6E07AD" w14:textId="77777777" w:rsidR="00874C7A" w:rsidRPr="00F21F0F" w:rsidRDefault="008A4B14" w:rsidP="00874C7A">
      <w:pPr>
        <w:pStyle w:val="Legal2L1"/>
      </w:pPr>
      <w:r w:rsidRPr="00F21F0F">
        <w:rPr>
          <w:b/>
          <w:kern w:val="18"/>
          <w:u w:val="single"/>
        </w:rPr>
        <w:t>SECURITY PROVISIONS</w:t>
      </w:r>
      <w:r w:rsidRPr="00F21F0F">
        <w:rPr>
          <w:kern w:val="18"/>
        </w:rPr>
        <w:t>.</w:t>
      </w:r>
    </w:p>
    <w:p w14:paraId="37294B3E" w14:textId="77777777" w:rsidR="00874C7A" w:rsidRDefault="008A4B14" w:rsidP="00874C7A">
      <w:pPr>
        <w:pStyle w:val="Legal2L2"/>
      </w:pPr>
      <w:r w:rsidRPr="007D5007">
        <w:rPr>
          <w:kern w:val="18"/>
          <w:u w:val="single"/>
        </w:rPr>
        <w:t>Compliance with Security Documents</w:t>
      </w:r>
      <w:r w:rsidRPr="00F21F0F">
        <w:rPr>
          <w:kern w:val="18"/>
        </w:rPr>
        <w:t>.</w:t>
      </w:r>
      <w:r>
        <w:rPr>
          <w:kern w:val="18"/>
        </w:rPr>
        <w:t xml:space="preserve"> </w:t>
      </w:r>
      <w:r w:rsidRPr="00F21F0F">
        <w:rPr>
          <w:kern w:val="18"/>
        </w:rPr>
        <w:t xml:space="preserve"> During the entire period that this Confirmation remains in effect, Buyer shall comply with the Security Documents</w:t>
      </w:r>
      <w:r>
        <w:rPr>
          <w:kern w:val="18"/>
        </w:rPr>
        <w:t>.</w:t>
      </w:r>
      <w:r w:rsidRPr="00F21F0F">
        <w:rPr>
          <w:kern w:val="18"/>
        </w:rPr>
        <w:t xml:space="preserve"> Upon the occurrence of an </w:t>
      </w:r>
      <w:r>
        <w:rPr>
          <w:kern w:val="18"/>
        </w:rPr>
        <w:t>Event</w:t>
      </w:r>
      <w:r w:rsidRPr="00F21F0F">
        <w:rPr>
          <w:kern w:val="18"/>
        </w:rPr>
        <w:t xml:space="preserve"> of </w:t>
      </w:r>
      <w:r>
        <w:rPr>
          <w:kern w:val="18"/>
        </w:rPr>
        <w:t>Default</w:t>
      </w:r>
      <w:r w:rsidRPr="00F21F0F">
        <w:rPr>
          <w:kern w:val="18"/>
        </w:rPr>
        <w:t xml:space="preserve"> (after giving effect to any applicable cure periods) by Buyer under any Security Document or a termination of any Security Document by Seller due to Buyer’s failure to perform in accordance with the terms thereof, such event shall constitute an Event of Default of Buyer in accordance with Article Five of the Master Agreement and Buyer shall therefore be the ‘Defaulting Party’ with regard to such failure to perform.</w:t>
      </w:r>
      <w:r>
        <w:rPr>
          <w:kern w:val="18"/>
        </w:rPr>
        <w:t xml:space="preserve">  </w:t>
      </w:r>
    </w:p>
    <w:p w14:paraId="463869BB" w14:textId="77777777" w:rsidR="00962CD3" w:rsidRDefault="008A4B14" w:rsidP="00962CD3">
      <w:pPr>
        <w:pStyle w:val="Legal2L2"/>
      </w:pPr>
      <w:r w:rsidRPr="007D5007">
        <w:rPr>
          <w:kern w:val="18"/>
          <w:u w:val="single"/>
        </w:rPr>
        <w:t>Buyer Reporting Requirements</w:t>
      </w:r>
      <w:r w:rsidRPr="00F21F0F">
        <w:rPr>
          <w:kern w:val="18"/>
        </w:rPr>
        <w:t>.</w:t>
      </w:r>
      <w:r>
        <w:rPr>
          <w:kern w:val="18"/>
        </w:rPr>
        <w:t xml:space="preserve"> </w:t>
      </w:r>
      <w:r w:rsidRPr="00F21F0F">
        <w:rPr>
          <w:kern w:val="18"/>
        </w:rPr>
        <w:t xml:space="preserve"> During the entire period this Confirmation remains in effect, Buyer shall provide Seller with the report(s) required below and shall also provide Seller with any clarifications requested regarding such report(s) and such other information that Seller reasonably requests regarding Buyer’s financial performance, Buyer’s performance of its obligations under this Confirmation or any Security </w:t>
      </w:r>
      <w:r>
        <w:rPr>
          <w:kern w:val="18"/>
        </w:rPr>
        <w:t>Document or the ongoing viability of the CCA</w:t>
      </w:r>
      <w:r w:rsidRPr="00F21F0F">
        <w:rPr>
          <w:kern w:val="18"/>
        </w:rPr>
        <w:t>.</w:t>
      </w:r>
      <w:r>
        <w:rPr>
          <w:kern w:val="18"/>
        </w:rPr>
        <w:t xml:space="preserve">  </w:t>
      </w:r>
      <w:r w:rsidRPr="003518AF">
        <w:t>In the event Buyer fails to provide Seller with any required reports requested by Seller and such failure is not remedied within fifteen (15) Business Days of Seller’s written request therefor</w:t>
      </w:r>
      <w:r>
        <w:t xml:space="preserve"> and </w:t>
      </w:r>
      <w:r w:rsidRPr="00F77CE9">
        <w:rPr>
          <w:kern w:val="18"/>
        </w:rPr>
        <w:t>notice of a potential Event of Default</w:t>
      </w:r>
      <w:r w:rsidRPr="003518AF">
        <w:t>, such failure shall be an Event of Default in accordance with Article Five of the Master Agreement and Buyer shall therefor</w:t>
      </w:r>
      <w:r>
        <w:t>e</w:t>
      </w:r>
      <w:r w:rsidRPr="003518AF">
        <w:t xml:space="preserve"> be the ‘Defaulting Party’ with regard to such failure to perform</w:t>
      </w:r>
      <w:r w:rsidRPr="00BF366E">
        <w:t>.</w:t>
      </w:r>
    </w:p>
    <w:p w14:paraId="7D3D0D76" w14:textId="77777777" w:rsidR="00874C7A" w:rsidRDefault="008A4B14" w:rsidP="00874C7A">
      <w:pPr>
        <w:pStyle w:val="Legal2L3"/>
      </w:pPr>
      <w:r w:rsidRPr="00F21F0F">
        <w:rPr>
          <w:kern w:val="18"/>
          <w:u w:val="single"/>
        </w:rPr>
        <w:t>Monthly Reports</w:t>
      </w:r>
      <w:r w:rsidRPr="00F21F0F">
        <w:rPr>
          <w:kern w:val="18"/>
        </w:rPr>
        <w:t xml:space="preserve">.  </w:t>
      </w:r>
      <w:r>
        <w:rPr>
          <w:kern w:val="18"/>
        </w:rPr>
        <w:t xml:space="preserve">The following reports shall be provided by Buyer to Seller not later than twenty (20) days following the end of each calendar month for items (i) through (vi) below, and each report shall be </w:t>
      </w:r>
      <w:proofErr w:type="gramStart"/>
      <w:r>
        <w:rPr>
          <w:kern w:val="18"/>
        </w:rPr>
        <w:t>with regard to</w:t>
      </w:r>
      <w:proofErr w:type="gramEnd"/>
      <w:r>
        <w:rPr>
          <w:kern w:val="18"/>
        </w:rPr>
        <w:t xml:space="preserve"> such previous calendar month or other period as applicable:</w:t>
      </w:r>
    </w:p>
    <w:p w14:paraId="2A3A629A" w14:textId="77777777" w:rsidR="00874C7A" w:rsidRDefault="008A4B14" w:rsidP="00874C7A">
      <w:pPr>
        <w:pStyle w:val="Legal2L4"/>
      </w:pPr>
      <w:r w:rsidRPr="00F21F0F">
        <w:rPr>
          <w:kern w:val="18"/>
        </w:rPr>
        <w:t>Customer deposit report including a complete and detailed report of all collateral Buyer is holding from any Customer in the format agreed to between the Parties but shall not include the identity or personal details (name, address, telephone number, family size, social security number, bank account number, credit score, payment history, etc.) of any Customer nor any information that may allow Seller to determine a Customer’s identity;</w:t>
      </w:r>
    </w:p>
    <w:p w14:paraId="1CE575CE" w14:textId="77777777" w:rsidR="00874C7A" w:rsidRDefault="008A4B14" w:rsidP="00874C7A">
      <w:pPr>
        <w:pStyle w:val="Legal2L4"/>
      </w:pPr>
      <w:r w:rsidRPr="00F21F0F">
        <w:rPr>
          <w:kern w:val="18"/>
        </w:rPr>
        <w:t>Customer on-bill prepayment report including a complete and detailed report of all Customer on-bill payments that were deposited into the Primary Secured Account (as defined in the Security Documents);</w:t>
      </w:r>
    </w:p>
    <w:p w14:paraId="29E51ABB" w14:textId="77777777" w:rsidR="00874C7A" w:rsidRPr="001119AE" w:rsidRDefault="008A4B14" w:rsidP="00874C7A">
      <w:pPr>
        <w:pStyle w:val="Legal2L4"/>
        <w:rPr>
          <w:kern w:val="18"/>
        </w:rPr>
      </w:pPr>
      <w:r w:rsidRPr="00F21F0F">
        <w:rPr>
          <w:kern w:val="18"/>
        </w:rPr>
        <w:t>Cash reconciliations and bank sta</w:t>
      </w:r>
      <w:r w:rsidRPr="001119AE">
        <w:rPr>
          <w:kern w:val="18"/>
        </w:rPr>
        <w:t>tements for each of Buyer’s banking accounts; and</w:t>
      </w:r>
    </w:p>
    <w:p w14:paraId="553F48EE" w14:textId="77777777" w:rsidR="00A84259" w:rsidRPr="00FF5B33" w:rsidRDefault="008A4B14" w:rsidP="00874C7A">
      <w:pPr>
        <w:pStyle w:val="Legal2L4"/>
        <w:rPr>
          <w:b/>
          <w:kern w:val="18"/>
        </w:rPr>
      </w:pPr>
      <w:r w:rsidRPr="001119AE">
        <w:rPr>
          <w:kern w:val="18"/>
        </w:rPr>
        <w:t>Summary of payments made by Customers or other entities</w:t>
      </w:r>
      <w:r w:rsidRPr="001119AE">
        <w:rPr>
          <w:b/>
          <w:kern w:val="18"/>
        </w:rPr>
        <w:t xml:space="preserve"> </w:t>
      </w:r>
      <w:r w:rsidRPr="001119AE">
        <w:rPr>
          <w:kern w:val="18"/>
        </w:rPr>
        <w:t xml:space="preserve">to Buyer and a summary of delinquent accounts regarding Customers, such information to be provided on an aggregate basis (i.e. not by Customer) and shall include information segregated for delinquencies for each of the following time periods: 30 days, 60 days, 90 days and 120 days, plus the total account receivable balance owed to </w:t>
      </w:r>
      <w:r>
        <w:rPr>
          <w:kern w:val="18"/>
        </w:rPr>
        <w:t>Buyer from its Customers</w:t>
      </w:r>
      <w:r w:rsidR="007D5007">
        <w:rPr>
          <w:kern w:val="18"/>
        </w:rPr>
        <w:t>.</w:t>
      </w:r>
    </w:p>
    <w:p w14:paraId="77DDB9DC" w14:textId="77777777" w:rsidR="008B652F" w:rsidRPr="008B652F" w:rsidRDefault="008A4B14" w:rsidP="00874C7A">
      <w:pPr>
        <w:pStyle w:val="Legal2L3"/>
      </w:pPr>
      <w:r w:rsidRPr="00302FD2">
        <w:rPr>
          <w:u w:val="single"/>
        </w:rPr>
        <w:t>Semi-Annual Reports</w:t>
      </w:r>
      <w:r>
        <w:t>.  The following report shall be provided by Buyer to Seller not later than 20 days following the end of the first six calendar months of each Buyer fiscal year:  consolidated and consolidating fi</w:t>
      </w:r>
      <w:r w:rsidR="0045664B">
        <w:t>nancial statements for such six-</w:t>
      </w:r>
      <w:r>
        <w:t>month period prepared in accordance with generally accepted accounting principles.  Such financial statements shall include, at a minimum, a detailed profit and loss statement balance sheet statement of cash flows, a monthly and year to date financial projections showing line item and total variances between such financial projections and actual results and an executive summary describing the causes of any variances which are +/- 5% between the annual financial statements and the financial projections.  Such report shall be in the format as Seller may reasonably require from time to time.</w:t>
      </w:r>
    </w:p>
    <w:p w14:paraId="1030203D" w14:textId="77777777" w:rsidR="00874C7A" w:rsidRDefault="008A4B14" w:rsidP="00874C7A">
      <w:pPr>
        <w:pStyle w:val="Legal2L2"/>
        <w:rPr>
          <w:kern w:val="18"/>
        </w:rPr>
      </w:pPr>
      <w:r w:rsidRPr="00F21F0F">
        <w:rPr>
          <w:kern w:val="18"/>
          <w:u w:val="single"/>
        </w:rPr>
        <w:t>Annual Reports</w:t>
      </w:r>
      <w:r>
        <w:t xml:space="preserve">.  </w:t>
      </w:r>
      <w:r w:rsidRPr="00F21F0F">
        <w:rPr>
          <w:kern w:val="18"/>
        </w:rPr>
        <w:t xml:space="preserve">The following report shall be provided by Buyer to Seller not later than </w:t>
      </w:r>
      <w:r w:rsidR="000D6968" w:rsidRPr="00F21F0F">
        <w:rPr>
          <w:kern w:val="18"/>
        </w:rPr>
        <w:t>1</w:t>
      </w:r>
      <w:r w:rsidR="000D6968">
        <w:rPr>
          <w:kern w:val="18"/>
        </w:rPr>
        <w:t>2</w:t>
      </w:r>
      <w:r w:rsidR="000D6968" w:rsidRPr="00F21F0F">
        <w:rPr>
          <w:kern w:val="18"/>
        </w:rPr>
        <w:t xml:space="preserve">0 </w:t>
      </w:r>
      <w:r w:rsidRPr="00F21F0F">
        <w:rPr>
          <w:kern w:val="18"/>
        </w:rPr>
        <w:t>days following the end of Buyer’s fiscal year, shall be with regard to such previous fiscal year and shall be as follows: Buyer’s financial reports consisting of, at a minimum, statement of revenues, expenses and changes in fund net assets, statement of net assets, and statement of cash flows on a consolidating basis (as applicable), each as prepared in accordance with generally accepted accounting principles and audited by an independent certified public accountant.</w:t>
      </w:r>
    </w:p>
    <w:p w14:paraId="21518C9E" w14:textId="77777777" w:rsidR="00970F5F" w:rsidRDefault="00970F5F" w:rsidP="00F21F0F">
      <w:pPr>
        <w:pStyle w:val="BodyText"/>
        <w:rPr>
          <w:kern w:val="18"/>
        </w:rPr>
      </w:pPr>
    </w:p>
    <w:p w14:paraId="508C55AD" w14:textId="77777777" w:rsidR="00302FD2" w:rsidRDefault="00302FD2" w:rsidP="00F21F0F">
      <w:pPr>
        <w:pStyle w:val="BodyText"/>
        <w:rPr>
          <w:kern w:val="18"/>
        </w:rPr>
      </w:pPr>
    </w:p>
    <w:p w14:paraId="32BFA43E" w14:textId="77777777" w:rsidR="001C40D3" w:rsidRDefault="001C40D3" w:rsidP="00F21F0F">
      <w:pPr>
        <w:pStyle w:val="BodyText"/>
        <w:rPr>
          <w:kern w:val="18"/>
        </w:rPr>
      </w:pPr>
    </w:p>
    <w:p w14:paraId="7D0CA28E" w14:textId="77777777" w:rsidR="001C40D3" w:rsidRDefault="001C40D3" w:rsidP="00F21F0F">
      <w:pPr>
        <w:pStyle w:val="BodyText"/>
        <w:rPr>
          <w:kern w:val="18"/>
        </w:rPr>
      </w:pPr>
    </w:p>
    <w:p w14:paraId="68C51F17" w14:textId="77777777" w:rsidR="001C40D3" w:rsidRDefault="001C40D3" w:rsidP="00F21F0F">
      <w:pPr>
        <w:pStyle w:val="BodyText"/>
        <w:rPr>
          <w:kern w:val="18"/>
        </w:rPr>
      </w:pPr>
    </w:p>
    <w:p w14:paraId="6D4698C8" w14:textId="77777777" w:rsidR="001C40D3" w:rsidRDefault="001C40D3" w:rsidP="00F21F0F">
      <w:pPr>
        <w:pStyle w:val="BodyText"/>
        <w:rPr>
          <w:kern w:val="18"/>
        </w:rPr>
      </w:pPr>
    </w:p>
    <w:p w14:paraId="1CD0F146" w14:textId="77777777" w:rsidR="00142957" w:rsidRDefault="008A4B14" w:rsidP="00F21F0F">
      <w:pPr>
        <w:pStyle w:val="BodyText"/>
        <w:rPr>
          <w:kern w:val="18"/>
        </w:rPr>
      </w:pPr>
      <w:bookmarkStart w:id="1" w:name="_GoBack"/>
      <w:bookmarkEnd w:id="1"/>
      <w:r>
        <w:rPr>
          <w:kern w:val="18"/>
        </w:rPr>
        <w:t xml:space="preserve">This Confirmation is being provided pursuant to and in accordance with the Master Power Purchase and Sale Agreement dated </w:t>
      </w:r>
      <w:r w:rsidR="0045664B">
        <w:rPr>
          <w:kern w:val="18"/>
        </w:rPr>
        <w:t>______________</w:t>
      </w:r>
      <w:r>
        <w:rPr>
          <w:kern w:val="18"/>
        </w:rPr>
        <w:t xml:space="preserve"> (the “</w:t>
      </w:r>
      <w:r w:rsidRPr="00A252E4">
        <w:rPr>
          <w:kern w:val="18"/>
          <w:u w:val="single"/>
        </w:rPr>
        <w:t>Master Agreement</w:t>
      </w:r>
      <w:r>
        <w:rPr>
          <w:kern w:val="18"/>
        </w:rPr>
        <w:t>”) between Buyer and Seller, and constitutes part of and is subject to the terms and provisions of such Master Agreement.  This Confirmation and</w:t>
      </w:r>
      <w:r w:rsidRPr="00F21F0F">
        <w:rPr>
          <w:kern w:val="18"/>
        </w:rPr>
        <w:t xml:space="preserve"> the Master Agreement</w:t>
      </w:r>
      <w:r>
        <w:rPr>
          <w:kern w:val="18"/>
        </w:rPr>
        <w:t>, including any appendices, exhibits or amendments thereto,</w:t>
      </w:r>
      <w:r w:rsidRPr="00F21F0F">
        <w:rPr>
          <w:kern w:val="18"/>
        </w:rPr>
        <w:t xml:space="preserve"> shall </w:t>
      </w:r>
      <w:r>
        <w:rPr>
          <w:kern w:val="18"/>
        </w:rPr>
        <w:t>collectively</w:t>
      </w:r>
      <w:r w:rsidRPr="00F21F0F">
        <w:rPr>
          <w:kern w:val="18"/>
        </w:rPr>
        <w:t xml:space="preserve"> be </w:t>
      </w:r>
      <w:r>
        <w:rPr>
          <w:kern w:val="18"/>
        </w:rPr>
        <w:t xml:space="preserve">referred to </w:t>
      </w:r>
      <w:r w:rsidRPr="00F21F0F">
        <w:rPr>
          <w:kern w:val="18"/>
        </w:rPr>
        <w:t xml:space="preserve">as the </w:t>
      </w:r>
      <w:r>
        <w:rPr>
          <w:kern w:val="18"/>
        </w:rPr>
        <w:t>“</w:t>
      </w:r>
      <w:r w:rsidRPr="00A857DD">
        <w:rPr>
          <w:kern w:val="18"/>
        </w:rPr>
        <w:t>Agreement</w:t>
      </w:r>
      <w:r>
        <w:rPr>
          <w:kern w:val="18"/>
        </w:rPr>
        <w:t>.”</w:t>
      </w:r>
    </w:p>
    <w:p w14:paraId="16C4D789" w14:textId="77777777" w:rsidR="006C2631" w:rsidRDefault="006C2631" w:rsidP="00F21F0F">
      <w:pPr>
        <w:pStyle w:val="BodyText"/>
        <w:rPr>
          <w:kern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764F03" w14:paraId="00AB66A4" w14:textId="77777777" w:rsidTr="00106375">
        <w:trPr>
          <w:jc w:val="center"/>
        </w:trPr>
        <w:tc>
          <w:tcPr>
            <w:tcW w:w="9350" w:type="dxa"/>
          </w:tcPr>
          <w:p w14:paraId="188D52BA" w14:textId="77777777" w:rsidR="00764F03" w:rsidRDefault="00764F03" w:rsidP="00106375">
            <w:pPr>
              <w:jc w:val="center"/>
              <w:rPr>
                <w:b/>
              </w:rPr>
            </w:pPr>
            <w:r>
              <w:rPr>
                <w:b/>
                <w:kern w:val="18"/>
              </w:rPr>
              <w:t>This Confirmation is subject to the Exhibits identified below and that are attached hereto:</w:t>
            </w:r>
          </w:p>
        </w:tc>
      </w:tr>
      <w:tr w:rsidR="00764F03" w14:paraId="384E94F1" w14:textId="77777777" w:rsidTr="00106375">
        <w:trPr>
          <w:jc w:val="center"/>
        </w:trPr>
        <w:tc>
          <w:tcPr>
            <w:tcW w:w="9350" w:type="dxa"/>
          </w:tcPr>
          <w:p w14:paraId="4A8D567A" w14:textId="77777777" w:rsidR="00764F03" w:rsidRDefault="00764F03" w:rsidP="00106375">
            <w:pPr>
              <w:jc w:val="center"/>
              <w:rPr>
                <w:b/>
              </w:rPr>
            </w:pPr>
            <w:r>
              <w:rPr>
                <w:b/>
                <w:kern w:val="18"/>
              </w:rPr>
              <w:t>Exhibit A – Energy Contract Quantity and Price Schedule</w:t>
            </w:r>
          </w:p>
          <w:p w14:paraId="2B3B694E" w14:textId="77777777" w:rsidR="006C2631" w:rsidRDefault="00764F03" w:rsidP="006C2631">
            <w:pPr>
              <w:jc w:val="center"/>
              <w:rPr>
                <w:b/>
                <w:kern w:val="18"/>
              </w:rPr>
            </w:pPr>
            <w:r>
              <w:rPr>
                <w:b/>
                <w:kern w:val="18"/>
              </w:rPr>
              <w:t xml:space="preserve">Exhibit B – Renewable Energy Contract Quantity and Price Schedule </w:t>
            </w:r>
          </w:p>
          <w:p w14:paraId="21439241" w14:textId="77777777" w:rsidR="00764F03" w:rsidRDefault="00764F03" w:rsidP="006C2631">
            <w:pPr>
              <w:jc w:val="center"/>
              <w:rPr>
                <w:rFonts w:ascii="Arial" w:hAnsi="Arial" w:cs="Arial"/>
                <w:b/>
                <w:sz w:val="18"/>
              </w:rPr>
            </w:pPr>
            <w:r>
              <w:rPr>
                <w:b/>
                <w:kern w:val="18"/>
              </w:rPr>
              <w:t xml:space="preserve">Exhibit C – Carbon Free Energy Contract Quantity and Price Schedule </w:t>
            </w:r>
          </w:p>
        </w:tc>
      </w:tr>
    </w:tbl>
    <w:p w14:paraId="39B4A669" w14:textId="77777777" w:rsidR="00764F03" w:rsidRDefault="00764F03" w:rsidP="00F21F0F">
      <w:pPr>
        <w:pStyle w:val="BodyText"/>
      </w:pPr>
    </w:p>
    <w:p w14:paraId="6260E136" w14:textId="77777777" w:rsidR="006C2631" w:rsidRDefault="006C2631" w:rsidP="00F21F0F">
      <w:pPr>
        <w:pStyle w:val="BodyText"/>
      </w:pPr>
    </w:p>
    <w:tbl>
      <w:tblPr>
        <w:tblW w:w="9468" w:type="dxa"/>
        <w:jc w:val="center"/>
        <w:tblLayout w:type="fixed"/>
        <w:tblCellMar>
          <w:left w:w="115" w:type="dxa"/>
          <w:right w:w="115" w:type="dxa"/>
        </w:tblCellMar>
        <w:tblLook w:val="04A0" w:firstRow="1" w:lastRow="0" w:firstColumn="1" w:lastColumn="0" w:noHBand="0" w:noVBand="1"/>
      </w:tblPr>
      <w:tblGrid>
        <w:gridCol w:w="4572"/>
        <w:gridCol w:w="4896"/>
      </w:tblGrid>
      <w:tr w:rsidR="00764F03" w14:paraId="14C34556" w14:textId="77777777" w:rsidTr="00764F03">
        <w:trPr>
          <w:cantSplit/>
          <w:jc w:val="center"/>
        </w:trPr>
        <w:tc>
          <w:tcPr>
            <w:tcW w:w="4572" w:type="dxa"/>
            <w:shd w:val="clear" w:color="auto" w:fill="auto"/>
          </w:tcPr>
          <w:p w14:paraId="39ACB101" w14:textId="77777777" w:rsidR="00764F03" w:rsidRDefault="00764F03" w:rsidP="00106375">
            <w:pPr>
              <w:pStyle w:val="SignatureL"/>
              <w:rPr>
                <w:b/>
                <w:kern w:val="18"/>
                <w:szCs w:val="18"/>
              </w:rPr>
            </w:pPr>
            <w:r>
              <w:rPr>
                <w:b/>
                <w:kern w:val="18"/>
                <w:szCs w:val="18"/>
              </w:rPr>
              <w:t>____________________________</w:t>
            </w:r>
          </w:p>
          <w:p w14:paraId="310F4BC8" w14:textId="77777777" w:rsidR="00764F03" w:rsidRDefault="00764F03" w:rsidP="00764F03"/>
          <w:p w14:paraId="32DAF805" w14:textId="77777777" w:rsidR="00764F03" w:rsidRPr="00764F03" w:rsidRDefault="00764F03" w:rsidP="00764F03"/>
          <w:p w14:paraId="1569B2C8" w14:textId="77777777" w:rsidR="00764F03" w:rsidRDefault="00764F03" w:rsidP="00106375">
            <w:pPr>
              <w:pStyle w:val="SignatureL"/>
            </w:pPr>
          </w:p>
          <w:p w14:paraId="12FC69C4" w14:textId="77777777" w:rsidR="00764F03" w:rsidRPr="001E69DC" w:rsidRDefault="00764F03" w:rsidP="00106375">
            <w:pPr>
              <w:pStyle w:val="SignatureL"/>
              <w:spacing w:after="240"/>
              <w:rPr>
                <w:u w:val="single"/>
              </w:rPr>
            </w:pPr>
            <w:r>
              <w:t>Sign:</w:t>
            </w:r>
            <w:r w:rsidRPr="001E69DC">
              <w:rPr>
                <w:u w:val="single"/>
              </w:rPr>
              <w:tab/>
            </w:r>
            <w:r w:rsidRPr="001E69DC">
              <w:rPr>
                <w:u w:val="single"/>
              </w:rPr>
              <w:tab/>
            </w:r>
          </w:p>
          <w:p w14:paraId="78724623" w14:textId="77777777" w:rsidR="00764F03" w:rsidRPr="001E69DC" w:rsidRDefault="00764F03" w:rsidP="00106375">
            <w:pPr>
              <w:pStyle w:val="SignatureL"/>
              <w:spacing w:after="240"/>
              <w:rPr>
                <w:u w:val="single"/>
              </w:rPr>
            </w:pPr>
            <w:r>
              <w:t>Print:</w:t>
            </w:r>
            <w:r w:rsidRPr="001E69DC">
              <w:rPr>
                <w:u w:val="single"/>
              </w:rPr>
              <w:tab/>
            </w:r>
            <w:r w:rsidRPr="001E69DC">
              <w:rPr>
                <w:u w:val="single"/>
              </w:rPr>
              <w:tab/>
            </w:r>
          </w:p>
          <w:p w14:paraId="52F9A6EC" w14:textId="77777777" w:rsidR="00764F03" w:rsidRPr="001E69DC" w:rsidRDefault="00764F03" w:rsidP="00106375">
            <w:pPr>
              <w:pStyle w:val="SignatureL"/>
              <w:spacing w:after="240"/>
              <w:rPr>
                <w:u w:val="single"/>
              </w:rPr>
            </w:pPr>
            <w:r>
              <w:t>Title:</w:t>
            </w:r>
            <w:r w:rsidRPr="001E69DC">
              <w:rPr>
                <w:u w:val="single"/>
              </w:rPr>
              <w:tab/>
            </w:r>
            <w:r w:rsidRPr="001E69DC">
              <w:rPr>
                <w:u w:val="single"/>
              </w:rPr>
              <w:tab/>
            </w:r>
          </w:p>
          <w:p w14:paraId="4E858F77" w14:textId="77777777" w:rsidR="00764F03" w:rsidRDefault="00764F03" w:rsidP="00106375"/>
        </w:tc>
        <w:tc>
          <w:tcPr>
            <w:tcW w:w="4896" w:type="dxa"/>
            <w:shd w:val="clear" w:color="auto" w:fill="auto"/>
          </w:tcPr>
          <w:p w14:paraId="74DD9900" w14:textId="77777777" w:rsidR="00764F03" w:rsidRDefault="00571C5C" w:rsidP="00106375">
            <w:pPr>
              <w:pStyle w:val="SignatureL"/>
            </w:pPr>
            <w:r>
              <w:rPr>
                <w:b/>
                <w:bCs/>
                <w:caps/>
                <w:kern w:val="18"/>
                <w:szCs w:val="18"/>
              </w:rPr>
              <w:t>CLEAN POWER ALLIANCE OF SOUTHERN CALIFORNIA</w:t>
            </w:r>
            <w:r w:rsidR="00764F03" w:rsidRPr="001E69DC">
              <w:rPr>
                <w:b/>
                <w:bCs/>
                <w:kern w:val="18"/>
                <w:szCs w:val="18"/>
              </w:rPr>
              <w:t xml:space="preserve">, </w:t>
            </w:r>
            <w:r w:rsidR="00764F03" w:rsidRPr="00142957">
              <w:rPr>
                <w:b/>
                <w:bCs/>
                <w:kern w:val="18"/>
                <w:szCs w:val="18"/>
              </w:rPr>
              <w:t>a California joint powers authority</w:t>
            </w:r>
          </w:p>
          <w:p w14:paraId="74438DDB" w14:textId="77777777" w:rsidR="00764F03" w:rsidRDefault="00764F03" w:rsidP="00106375">
            <w:pPr>
              <w:pStyle w:val="SignatureL"/>
            </w:pPr>
          </w:p>
          <w:p w14:paraId="5EA60A4F" w14:textId="77777777" w:rsidR="00764F03" w:rsidRDefault="00764F03" w:rsidP="00106375">
            <w:pPr>
              <w:pStyle w:val="SignatureL"/>
            </w:pPr>
          </w:p>
          <w:p w14:paraId="22E66D5D" w14:textId="77777777" w:rsidR="00764F03" w:rsidRPr="001E69DC" w:rsidRDefault="00764F03" w:rsidP="00106375">
            <w:pPr>
              <w:pStyle w:val="SignatureL"/>
              <w:spacing w:after="240"/>
              <w:rPr>
                <w:u w:val="single"/>
              </w:rPr>
            </w:pPr>
            <w:r>
              <w:t>Sign:</w:t>
            </w:r>
            <w:r w:rsidRPr="001E69DC">
              <w:rPr>
                <w:u w:val="single"/>
              </w:rPr>
              <w:tab/>
            </w:r>
            <w:r w:rsidRPr="001E69DC">
              <w:rPr>
                <w:u w:val="single"/>
              </w:rPr>
              <w:tab/>
            </w:r>
          </w:p>
          <w:p w14:paraId="7CFE5B81" w14:textId="77777777" w:rsidR="00764F03" w:rsidRPr="001E69DC" w:rsidRDefault="00764F03" w:rsidP="00106375">
            <w:pPr>
              <w:pStyle w:val="SignatureL"/>
              <w:spacing w:after="240"/>
              <w:rPr>
                <w:u w:val="single"/>
              </w:rPr>
            </w:pPr>
            <w:r>
              <w:t>Print:</w:t>
            </w:r>
            <w:r w:rsidRPr="001E69DC">
              <w:rPr>
                <w:u w:val="single"/>
              </w:rPr>
              <w:tab/>
            </w:r>
            <w:r w:rsidRPr="001E69DC">
              <w:rPr>
                <w:u w:val="single"/>
              </w:rPr>
              <w:tab/>
            </w:r>
          </w:p>
          <w:p w14:paraId="45095215" w14:textId="77777777" w:rsidR="00764F03" w:rsidRPr="001E69DC" w:rsidRDefault="00764F03" w:rsidP="00106375">
            <w:pPr>
              <w:pStyle w:val="SignatureL"/>
              <w:spacing w:after="240"/>
              <w:rPr>
                <w:u w:val="single"/>
              </w:rPr>
            </w:pPr>
            <w:r>
              <w:t>Title:</w:t>
            </w:r>
            <w:r w:rsidRPr="001E69DC">
              <w:rPr>
                <w:u w:val="single"/>
              </w:rPr>
              <w:tab/>
            </w:r>
            <w:r w:rsidRPr="001E69DC">
              <w:rPr>
                <w:u w:val="single"/>
              </w:rPr>
              <w:tab/>
            </w:r>
          </w:p>
          <w:p w14:paraId="119ED0F7" w14:textId="77777777" w:rsidR="00764F03" w:rsidRPr="005A15CE" w:rsidRDefault="00764F03" w:rsidP="00106375"/>
        </w:tc>
      </w:tr>
    </w:tbl>
    <w:p w14:paraId="2247B129" w14:textId="77777777" w:rsidR="00764F03" w:rsidRDefault="00764F03" w:rsidP="00F21F0F">
      <w:pPr>
        <w:pStyle w:val="BodyText"/>
      </w:pPr>
    </w:p>
    <w:p w14:paraId="33643F39" w14:textId="77777777" w:rsidR="00764F03" w:rsidRDefault="00764F03" w:rsidP="00F21F0F">
      <w:pPr>
        <w:pStyle w:val="BodyText"/>
      </w:pPr>
    </w:p>
    <w:p w14:paraId="27DA3291" w14:textId="77777777" w:rsidR="00764F03" w:rsidRDefault="00764F03" w:rsidP="00F21F0F">
      <w:pPr>
        <w:pStyle w:val="BodyText"/>
        <w:sectPr w:rsidR="00764F03">
          <w:footerReference w:type="default" r:id="rId7"/>
          <w:headerReference w:type="first" r:id="rId8"/>
          <w:footerReference w:type="first" r:id="rId9"/>
          <w:pgSz w:w="12240" w:h="15840" w:code="1"/>
          <w:pgMar w:top="1440" w:right="1440" w:bottom="1440" w:left="1440" w:header="720" w:footer="720" w:gutter="0"/>
          <w:cols w:space="720"/>
          <w:titlePg/>
          <w:docGrid w:linePitch="360"/>
        </w:sectPr>
      </w:pPr>
    </w:p>
    <w:p w14:paraId="78D2BBBD" w14:textId="77777777" w:rsidR="00874C7A" w:rsidRPr="00077613" w:rsidRDefault="008A4B14" w:rsidP="00F21F0F">
      <w:pPr>
        <w:pStyle w:val="Title"/>
      </w:pPr>
      <w:r w:rsidRPr="00F21F0F">
        <w:rPr>
          <w:kern w:val="18"/>
        </w:rPr>
        <w:t>Exhibit A</w:t>
      </w:r>
    </w:p>
    <w:p w14:paraId="47794469" w14:textId="77777777" w:rsidR="00874C7A" w:rsidRPr="00077613" w:rsidRDefault="008A4B14" w:rsidP="00F21F0F">
      <w:pPr>
        <w:pStyle w:val="Title"/>
      </w:pPr>
      <w:r w:rsidRPr="00F21F0F">
        <w:rPr>
          <w:kern w:val="18"/>
        </w:rPr>
        <w:t xml:space="preserve">Energy Contract </w:t>
      </w:r>
      <w:r>
        <w:rPr>
          <w:kern w:val="18"/>
        </w:rPr>
        <w:t>Quantity</w:t>
      </w:r>
      <w:r w:rsidRPr="00F21F0F">
        <w:rPr>
          <w:kern w:val="18"/>
        </w:rPr>
        <w:t xml:space="preserve"> and </w:t>
      </w:r>
      <w:r>
        <w:rPr>
          <w:kern w:val="18"/>
        </w:rPr>
        <w:t>Price Schedule</w:t>
      </w:r>
    </w:p>
    <w:p w14:paraId="124248A3" w14:textId="77777777" w:rsidR="00C911E0" w:rsidRPr="00514880" w:rsidRDefault="00514880" w:rsidP="00FC7726">
      <w:pPr>
        <w:spacing w:after="200" w:line="276" w:lineRule="auto"/>
        <w:jc w:val="center"/>
        <w:rPr>
          <w:rFonts w:eastAsiaTheme="minorHAnsi"/>
          <w:b/>
        </w:rPr>
      </w:pPr>
      <w:r w:rsidRPr="00514880">
        <w:rPr>
          <w:rFonts w:eastAsiaTheme="minorHAnsi"/>
          <w:b/>
        </w:rPr>
        <w:t>[</w:t>
      </w:r>
      <w:r w:rsidRPr="00514880">
        <w:rPr>
          <w:rFonts w:eastAsiaTheme="minorHAnsi"/>
          <w:b/>
          <w:highlight w:val="yellow"/>
        </w:rPr>
        <w:t>TBD</w:t>
      </w:r>
      <w:r w:rsidRPr="00514880">
        <w:rPr>
          <w:rFonts w:eastAsiaTheme="minorHAnsi"/>
          <w:b/>
        </w:rPr>
        <w:t>]</w:t>
      </w:r>
    </w:p>
    <w:p w14:paraId="13E95C8D" w14:textId="77777777" w:rsidR="009937B0" w:rsidRPr="00F21F0F" w:rsidRDefault="00561486" w:rsidP="00F21F0F">
      <w:pPr>
        <w:sectPr w:rsidR="009937B0" w:rsidRPr="00F21F0F" w:rsidSect="00514880">
          <w:headerReference w:type="first" r:id="rId10"/>
          <w:footerReference w:type="first" r:id="rId11"/>
          <w:pgSz w:w="12240" w:h="15840" w:code="1"/>
          <w:pgMar w:top="720" w:right="720" w:bottom="720" w:left="720" w:header="720" w:footer="720" w:gutter="0"/>
          <w:pgNumType w:start="1"/>
          <w:cols w:space="720"/>
          <w:titlePg/>
          <w:docGrid w:linePitch="360"/>
        </w:sectPr>
      </w:pPr>
    </w:p>
    <w:p w14:paraId="7A903DB3" w14:textId="77777777" w:rsidR="00874C7A" w:rsidRPr="00077613" w:rsidRDefault="008A4B14" w:rsidP="00F21F0F">
      <w:pPr>
        <w:pStyle w:val="Title"/>
      </w:pPr>
      <w:r w:rsidRPr="00F21F0F">
        <w:rPr>
          <w:kern w:val="18"/>
        </w:rPr>
        <w:t>Exhibit B</w:t>
      </w:r>
    </w:p>
    <w:p w14:paraId="0A9BE9E0" w14:textId="77777777" w:rsidR="00874C7A" w:rsidRPr="00077613" w:rsidRDefault="008A4B14" w:rsidP="00F21F0F">
      <w:pPr>
        <w:pStyle w:val="Title"/>
      </w:pPr>
      <w:r w:rsidRPr="00F21F0F">
        <w:rPr>
          <w:kern w:val="18"/>
        </w:rPr>
        <w:t xml:space="preserve">Renewable Energy Contract </w:t>
      </w:r>
      <w:r>
        <w:rPr>
          <w:kern w:val="18"/>
        </w:rPr>
        <w:t>Quantity</w:t>
      </w:r>
      <w:r w:rsidRPr="00F21F0F">
        <w:rPr>
          <w:kern w:val="18"/>
        </w:rPr>
        <w:t xml:space="preserve"> and </w:t>
      </w:r>
      <w:r>
        <w:rPr>
          <w:kern w:val="18"/>
        </w:rPr>
        <w:t>Price Schedule</w:t>
      </w:r>
      <w:r w:rsidR="000D6968">
        <w:rPr>
          <w:kern w:val="18"/>
        </w:rPr>
        <w:t xml:space="preserve"> </w:t>
      </w:r>
    </w:p>
    <w:p w14:paraId="1A67F4F1" w14:textId="77777777" w:rsidR="00797E1A" w:rsidRPr="00514880" w:rsidRDefault="00514880" w:rsidP="00514880">
      <w:pPr>
        <w:jc w:val="center"/>
        <w:rPr>
          <w:b/>
        </w:rPr>
      </w:pPr>
      <w:r w:rsidRPr="00514880">
        <w:rPr>
          <w:b/>
        </w:rPr>
        <w:t>[</w:t>
      </w:r>
      <w:r w:rsidRPr="00514880">
        <w:rPr>
          <w:b/>
          <w:highlight w:val="yellow"/>
        </w:rPr>
        <w:t>TBD</w:t>
      </w:r>
      <w:r w:rsidRPr="00514880">
        <w:rPr>
          <w:b/>
        </w:rPr>
        <w:t>]</w:t>
      </w:r>
    </w:p>
    <w:p w14:paraId="212C8EBB" w14:textId="77777777" w:rsidR="00797E1A" w:rsidRPr="00797E1A" w:rsidRDefault="00797E1A" w:rsidP="008D02B6">
      <w:pPr>
        <w:jc w:val="center"/>
      </w:pPr>
    </w:p>
    <w:p w14:paraId="456C52DB" w14:textId="77777777" w:rsidR="000D6968" w:rsidRPr="00F21F0F" w:rsidRDefault="000D6968" w:rsidP="00C911E0">
      <w:pPr>
        <w:jc w:val="center"/>
        <w:sectPr w:rsidR="000D6968" w:rsidRPr="00F21F0F" w:rsidSect="00F21F0F">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pPr>
    </w:p>
    <w:p w14:paraId="67B37ADE" w14:textId="77777777" w:rsidR="00874C7A" w:rsidRPr="00077613" w:rsidRDefault="008A4B14" w:rsidP="00F21F0F">
      <w:pPr>
        <w:pStyle w:val="Title"/>
      </w:pPr>
      <w:r w:rsidRPr="00F21F0F">
        <w:rPr>
          <w:kern w:val="18"/>
        </w:rPr>
        <w:t>Exhibit C</w:t>
      </w:r>
    </w:p>
    <w:p w14:paraId="6B7D7249" w14:textId="77777777" w:rsidR="00874C7A" w:rsidRDefault="008A4B14" w:rsidP="00F21F0F">
      <w:pPr>
        <w:pStyle w:val="Title"/>
        <w:rPr>
          <w:kern w:val="18"/>
        </w:rPr>
      </w:pPr>
      <w:r w:rsidRPr="00FF5B33">
        <w:rPr>
          <w:b w:val="0"/>
          <w:kern w:val="18"/>
        </w:rPr>
        <w:t xml:space="preserve">Carbon Free Energy Contract </w:t>
      </w:r>
      <w:r>
        <w:rPr>
          <w:kern w:val="18"/>
          <w:szCs w:val="18"/>
        </w:rPr>
        <w:t>Quantity</w:t>
      </w:r>
      <w:r w:rsidRPr="00FF5B33">
        <w:rPr>
          <w:b w:val="0"/>
          <w:kern w:val="18"/>
        </w:rPr>
        <w:t xml:space="preserve"> and </w:t>
      </w:r>
      <w:r>
        <w:rPr>
          <w:kern w:val="18"/>
          <w:szCs w:val="18"/>
        </w:rPr>
        <w:t xml:space="preserve">Price </w:t>
      </w:r>
      <w:r w:rsidRPr="00F21F0F">
        <w:rPr>
          <w:kern w:val="18"/>
        </w:rPr>
        <w:t>Schedule</w:t>
      </w:r>
      <w:r w:rsidR="000D6968">
        <w:rPr>
          <w:kern w:val="18"/>
        </w:rPr>
        <w:t xml:space="preserve"> </w:t>
      </w:r>
    </w:p>
    <w:p w14:paraId="469639FA" w14:textId="77777777" w:rsidR="00797E1A" w:rsidRPr="00CD6FEB" w:rsidRDefault="00514880" w:rsidP="00CD6FEB">
      <w:pPr>
        <w:jc w:val="center"/>
        <w:rPr>
          <w:b/>
        </w:rPr>
      </w:pPr>
      <w:r>
        <w:rPr>
          <w:b/>
        </w:rPr>
        <w:t>[</w:t>
      </w:r>
      <w:r w:rsidRPr="00514880">
        <w:rPr>
          <w:b/>
          <w:highlight w:val="yellow"/>
        </w:rPr>
        <w:t>TBD</w:t>
      </w:r>
      <w:r>
        <w:rPr>
          <w:b/>
        </w:rPr>
        <w:t>]</w:t>
      </w:r>
    </w:p>
    <w:p w14:paraId="0C3B158C" w14:textId="77777777" w:rsidR="00CD6FEB" w:rsidRPr="00CD6FEB" w:rsidRDefault="00CD6FEB" w:rsidP="00CD6FEB"/>
    <w:p w14:paraId="51B65AA6" w14:textId="77777777" w:rsidR="004D6219" w:rsidRPr="008C511E" w:rsidRDefault="00561486" w:rsidP="00C911E0">
      <w:pPr>
        <w:pStyle w:val="Title"/>
      </w:pPr>
      <w:bookmarkStart w:id="2" w:name="_DV_M24"/>
      <w:bookmarkStart w:id="3" w:name="_DV_M35"/>
      <w:bookmarkStart w:id="4" w:name="_DV_M176"/>
      <w:bookmarkStart w:id="5" w:name="_DV_M182"/>
      <w:bookmarkStart w:id="6" w:name="_DV_M225"/>
      <w:bookmarkStart w:id="7" w:name="_DV_M236"/>
      <w:bookmarkStart w:id="8" w:name="_DV_M237"/>
      <w:bookmarkStart w:id="9" w:name="_DV_M248"/>
      <w:bookmarkStart w:id="10" w:name="_DV_M255"/>
      <w:bookmarkEnd w:id="2"/>
      <w:bookmarkEnd w:id="3"/>
      <w:bookmarkEnd w:id="4"/>
      <w:bookmarkEnd w:id="5"/>
      <w:bookmarkEnd w:id="6"/>
      <w:bookmarkEnd w:id="7"/>
      <w:bookmarkEnd w:id="8"/>
      <w:bookmarkEnd w:id="9"/>
      <w:bookmarkEnd w:id="10"/>
    </w:p>
    <w:sectPr w:rsidR="004D6219" w:rsidRPr="008C511E" w:rsidSect="002F25C2">
      <w:footerReference w:type="default" r:id="rId15"/>
      <w:footerReference w:type="first" r:id="rId16"/>
      <w:pgSz w:w="12240" w:h="15840" w:code="1"/>
      <w:pgMar w:top="1440" w:right="1440" w:bottom="1440" w:left="1440" w:header="720" w:footer="56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B8C64" w14:textId="77777777" w:rsidR="00023D63" w:rsidRDefault="00023D63">
      <w:r>
        <w:separator/>
      </w:r>
    </w:p>
  </w:endnote>
  <w:endnote w:type="continuationSeparator" w:id="0">
    <w:p w14:paraId="634567A8" w14:textId="77777777" w:rsidR="00023D63" w:rsidRDefault="0002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2D3AB" w14:textId="7E9E9BC8" w:rsidR="00874C7A" w:rsidRDefault="008A4B14">
    <w:pPr>
      <w:pStyle w:val="Footer"/>
      <w:rPr>
        <w:noProof/>
      </w:rPr>
    </w:pPr>
    <w:r>
      <w:tab/>
    </w:r>
    <w:r>
      <w:fldChar w:fldCharType="begin"/>
    </w:r>
    <w:r>
      <w:instrText xml:space="preserve"> PAGE   \* MERGEFORMAT </w:instrText>
    </w:r>
    <w:r>
      <w:fldChar w:fldCharType="separate"/>
    </w:r>
    <w:r w:rsidR="00561486">
      <w:rPr>
        <w:noProof/>
      </w:rPr>
      <w:t>13</w:t>
    </w:r>
    <w:r>
      <w:rPr>
        <w:noProof/>
      </w:rPr>
      <w:fldChar w:fldCharType="end"/>
    </w:r>
  </w:p>
  <w:p w14:paraId="23EF2528" w14:textId="77777777" w:rsidR="00994EB5" w:rsidRDefault="00994EB5" w:rsidP="00994EB5">
    <w:pPr>
      <w:pStyle w:val="Footer"/>
      <w:spacing w:line="200" w:lineRule="exact"/>
    </w:pPr>
    <w:r w:rsidRPr="00994EB5">
      <w:t xml:space="preserve"> </w:t>
    </w:r>
  </w:p>
  <w:p w14:paraId="287147CC" w14:textId="77777777" w:rsidR="006F200B" w:rsidRDefault="006F200B" w:rsidP="006F200B">
    <w:pPr>
      <w:pStyle w:val="Footer"/>
      <w:spacing w:line="200" w:lineRule="exact"/>
    </w:pPr>
    <w:r w:rsidRPr="006F200B">
      <w:rPr>
        <w:rStyle w:val="zzmpTrailerItem"/>
      </w:rPr>
      <w:t>34393386v1</w:t>
    </w:r>
    <w:r w:rsidRPr="006F200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D28EC" w14:textId="65252753" w:rsidR="00874C7A" w:rsidRDefault="008A4B14">
    <w:pPr>
      <w:pStyle w:val="Footer"/>
      <w:jc w:val="center"/>
      <w:rPr>
        <w:noProof/>
      </w:rPr>
    </w:pPr>
    <w:r>
      <w:fldChar w:fldCharType="begin"/>
    </w:r>
    <w:r>
      <w:instrText xml:space="preserve"> PAGE   \* MERGEFORMAT </w:instrText>
    </w:r>
    <w:r>
      <w:fldChar w:fldCharType="separate"/>
    </w:r>
    <w:r w:rsidR="00561486">
      <w:rPr>
        <w:noProof/>
      </w:rPr>
      <w:t>1</w:t>
    </w:r>
    <w:r>
      <w:rPr>
        <w:noProof/>
      </w:rPr>
      <w:fldChar w:fldCharType="end"/>
    </w:r>
  </w:p>
  <w:p w14:paraId="64279F5A" w14:textId="77777777" w:rsidR="00994EB5" w:rsidRDefault="00994EB5" w:rsidP="00994EB5">
    <w:pPr>
      <w:pStyle w:val="Footer"/>
      <w:spacing w:line="200" w:lineRule="exact"/>
    </w:pPr>
    <w:r w:rsidRPr="00994EB5">
      <w:t xml:space="preserve"> </w:t>
    </w:r>
  </w:p>
  <w:p w14:paraId="5F1933AF" w14:textId="77777777" w:rsidR="006F200B" w:rsidRDefault="006F200B" w:rsidP="006F200B">
    <w:pPr>
      <w:pStyle w:val="Footer"/>
      <w:spacing w:line="200" w:lineRule="exact"/>
    </w:pPr>
    <w:r w:rsidRPr="006F200B">
      <w:rPr>
        <w:rStyle w:val="zzmpTrailerItem"/>
      </w:rPr>
      <w:t>34393386v1</w:t>
    </w:r>
    <w:r w:rsidRPr="006F200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DE253" w14:textId="77777777" w:rsidR="00FC7726" w:rsidRDefault="00514880">
    <w:pPr>
      <w:pStyle w:val="Footer"/>
      <w:jc w:val="center"/>
    </w:pPr>
    <w:r>
      <w:t>A-1</w:t>
    </w:r>
  </w:p>
  <w:p w14:paraId="2DE06B30" w14:textId="77777777" w:rsidR="00571C5C" w:rsidRDefault="006F200B" w:rsidP="006F200B">
    <w:pPr>
      <w:pStyle w:val="Footer"/>
      <w:spacing w:line="200" w:lineRule="exact"/>
    </w:pPr>
    <w:r w:rsidRPr="006F200B">
      <w:rPr>
        <w:rStyle w:val="zzmpTrailerItem"/>
      </w:rPr>
      <w:t>34393386v1</w:t>
    </w:r>
    <w:r w:rsidRPr="006F200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F4ACE" w14:textId="77777777" w:rsidR="00077613" w:rsidRPr="006F200B" w:rsidRDefault="006F200B" w:rsidP="006F200B">
    <w:pPr>
      <w:pStyle w:val="Footer"/>
      <w:spacing w:line="200" w:lineRule="exact"/>
    </w:pPr>
    <w:r w:rsidRPr="006F200B">
      <w:rPr>
        <w:rStyle w:val="zzmpTrailerItem"/>
      </w:rPr>
      <w:t>34393386v1</w:t>
    </w:r>
    <w:r w:rsidRPr="006F200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93AE0" w14:textId="77777777" w:rsidR="00874C7A" w:rsidRDefault="008A4B14">
    <w:pPr>
      <w:pStyle w:val="Footer"/>
      <w:jc w:val="center"/>
    </w:pPr>
    <w:r>
      <w:t>B-1</w:t>
    </w:r>
  </w:p>
  <w:p w14:paraId="2F149BDC" w14:textId="77777777" w:rsidR="00994EB5" w:rsidRDefault="00994EB5" w:rsidP="00994EB5">
    <w:pPr>
      <w:pStyle w:val="Footer"/>
      <w:spacing w:line="200" w:lineRule="exact"/>
    </w:pPr>
    <w:r w:rsidRPr="00994EB5">
      <w:t xml:space="preserve"> </w:t>
    </w:r>
  </w:p>
  <w:p w14:paraId="44AC23C2" w14:textId="77777777" w:rsidR="006F200B" w:rsidRDefault="006F200B" w:rsidP="006F200B">
    <w:pPr>
      <w:pStyle w:val="Footer"/>
      <w:spacing w:line="200" w:lineRule="exact"/>
    </w:pPr>
    <w:r w:rsidRPr="006F200B">
      <w:rPr>
        <w:rStyle w:val="zzmpTrailerItem"/>
      </w:rPr>
      <w:t>34393386v1</w:t>
    </w:r>
    <w:r w:rsidRPr="006F200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7C89B" w14:textId="77777777" w:rsidR="002F25C2" w:rsidRPr="006F200B" w:rsidRDefault="006F200B" w:rsidP="006F200B">
    <w:pPr>
      <w:pStyle w:val="Footer"/>
      <w:spacing w:line="200" w:lineRule="exact"/>
    </w:pPr>
    <w:r w:rsidRPr="006F200B">
      <w:rPr>
        <w:rStyle w:val="zzmpTrailerItem"/>
      </w:rPr>
      <w:t>34393386v1</w:t>
    </w:r>
    <w:r w:rsidRPr="006F200B">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B29A8" w14:textId="77777777" w:rsidR="00874C7A" w:rsidRDefault="008A4B14">
    <w:pPr>
      <w:pStyle w:val="Footer"/>
      <w:jc w:val="center"/>
    </w:pPr>
    <w:r>
      <w:t>C-1</w:t>
    </w:r>
  </w:p>
  <w:p w14:paraId="7049F1C9" w14:textId="77777777" w:rsidR="00994EB5" w:rsidRDefault="00994EB5" w:rsidP="00994EB5">
    <w:pPr>
      <w:pStyle w:val="Footer"/>
      <w:spacing w:line="200" w:lineRule="exact"/>
    </w:pPr>
    <w:r w:rsidRPr="00994EB5">
      <w:t xml:space="preserve"> </w:t>
    </w:r>
  </w:p>
  <w:p w14:paraId="5FCDB177" w14:textId="77777777" w:rsidR="006F200B" w:rsidRDefault="006F200B" w:rsidP="006F200B">
    <w:pPr>
      <w:pStyle w:val="Footer"/>
      <w:spacing w:line="200" w:lineRule="exact"/>
    </w:pPr>
    <w:r w:rsidRPr="006F200B">
      <w:rPr>
        <w:rStyle w:val="zzmpTrailerItem"/>
      </w:rPr>
      <w:t>34393386v1</w:t>
    </w:r>
    <w:r w:rsidRPr="006F200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BE55C" w14:textId="77777777" w:rsidR="00023D63" w:rsidRDefault="00023D63">
      <w:r>
        <w:separator/>
      </w:r>
    </w:p>
  </w:footnote>
  <w:footnote w:type="continuationSeparator" w:id="0">
    <w:p w14:paraId="5904E961" w14:textId="77777777" w:rsidR="00023D63" w:rsidRDefault="00023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C9BC2" w14:textId="77777777" w:rsidR="0056509A" w:rsidRDefault="0056509A" w:rsidP="0056509A">
    <w:pPr>
      <w:pStyle w:val="Header"/>
      <w:rPr>
        <w:b/>
      </w:rPr>
    </w:pPr>
    <w:r>
      <w:rPr>
        <w:b/>
      </w:rPr>
      <w:t xml:space="preserve">DRAFT </w:t>
    </w:r>
  </w:p>
  <w:p w14:paraId="49C04E32" w14:textId="437A55C5" w:rsidR="00874C7A" w:rsidRPr="001119AE" w:rsidRDefault="0056509A" w:rsidP="001119AE">
    <w:pPr>
      <w:pStyle w:val="Header"/>
      <w:rPr>
        <w:b/>
      </w:rPr>
    </w:pPr>
    <w:r>
      <w:rPr>
        <w:b/>
      </w:rPr>
      <w:t>3/1</w:t>
    </w:r>
    <w:r w:rsidR="00561486">
      <w:rPr>
        <w:b/>
      </w:rPr>
      <w:t>9</w:t>
    </w:r>
    <w:r>
      <w:rPr>
        <w:b/>
      </w:rPr>
      <w:t>/2018</w:t>
    </w:r>
    <w:r w:rsidR="008A4B14">
      <w:rPr>
        <w:b/>
        <w:i/>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1A49" w14:textId="77777777" w:rsidR="004676BD" w:rsidRPr="001119AE" w:rsidRDefault="004676BD" w:rsidP="001119AE">
    <w:pPr>
      <w:pStyle w:val="Header"/>
      <w:rPr>
        <w:b/>
      </w:rPr>
    </w:pPr>
    <w:r>
      <w:rPr>
        <w:b/>
        <w:i/>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1E67E" w14:textId="77777777" w:rsidR="00874C7A" w:rsidRPr="00F21F0F" w:rsidRDefault="0056148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27E266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C7C2097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A4085F7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737701C"/>
    <w:multiLevelType w:val="hybridMultilevel"/>
    <w:tmpl w:val="BB064BC4"/>
    <w:lvl w:ilvl="0" w:tplc="54E0A864">
      <w:start w:val="1"/>
      <w:numFmt w:val="lowerLetter"/>
      <w:lvlText w:val="(%1)"/>
      <w:lvlJc w:val="left"/>
      <w:pPr>
        <w:ind w:left="1440" w:hanging="360"/>
      </w:pPr>
      <w:rPr>
        <w:rFonts w:hint="default"/>
      </w:rPr>
    </w:lvl>
    <w:lvl w:ilvl="1" w:tplc="8EDADD0C" w:tentative="1">
      <w:start w:val="1"/>
      <w:numFmt w:val="lowerLetter"/>
      <w:lvlText w:val="%2."/>
      <w:lvlJc w:val="left"/>
      <w:pPr>
        <w:ind w:left="2160" w:hanging="360"/>
      </w:pPr>
    </w:lvl>
    <w:lvl w:ilvl="2" w:tplc="A8F07084" w:tentative="1">
      <w:start w:val="1"/>
      <w:numFmt w:val="lowerRoman"/>
      <w:lvlText w:val="%3."/>
      <w:lvlJc w:val="right"/>
      <w:pPr>
        <w:ind w:left="2880" w:hanging="180"/>
      </w:pPr>
    </w:lvl>
    <w:lvl w:ilvl="3" w:tplc="D42AE41A" w:tentative="1">
      <w:start w:val="1"/>
      <w:numFmt w:val="decimal"/>
      <w:lvlText w:val="%4."/>
      <w:lvlJc w:val="left"/>
      <w:pPr>
        <w:ind w:left="3600" w:hanging="360"/>
      </w:pPr>
    </w:lvl>
    <w:lvl w:ilvl="4" w:tplc="38882EDC" w:tentative="1">
      <w:start w:val="1"/>
      <w:numFmt w:val="lowerLetter"/>
      <w:lvlText w:val="%5."/>
      <w:lvlJc w:val="left"/>
      <w:pPr>
        <w:ind w:left="4320" w:hanging="360"/>
      </w:pPr>
    </w:lvl>
    <w:lvl w:ilvl="5" w:tplc="0F545610" w:tentative="1">
      <w:start w:val="1"/>
      <w:numFmt w:val="lowerRoman"/>
      <w:lvlText w:val="%6."/>
      <w:lvlJc w:val="right"/>
      <w:pPr>
        <w:ind w:left="5040" w:hanging="180"/>
      </w:pPr>
    </w:lvl>
    <w:lvl w:ilvl="6" w:tplc="3CF04DBA" w:tentative="1">
      <w:start w:val="1"/>
      <w:numFmt w:val="decimal"/>
      <w:lvlText w:val="%7."/>
      <w:lvlJc w:val="left"/>
      <w:pPr>
        <w:ind w:left="5760" w:hanging="360"/>
      </w:pPr>
    </w:lvl>
    <w:lvl w:ilvl="7" w:tplc="4FB42320" w:tentative="1">
      <w:start w:val="1"/>
      <w:numFmt w:val="lowerLetter"/>
      <w:lvlText w:val="%8."/>
      <w:lvlJc w:val="left"/>
      <w:pPr>
        <w:ind w:left="6480" w:hanging="360"/>
      </w:pPr>
    </w:lvl>
    <w:lvl w:ilvl="8" w:tplc="F9D8556C" w:tentative="1">
      <w:start w:val="1"/>
      <w:numFmt w:val="lowerRoman"/>
      <w:lvlText w:val="%9."/>
      <w:lvlJc w:val="right"/>
      <w:pPr>
        <w:ind w:left="7200" w:hanging="180"/>
      </w:pPr>
    </w:lvl>
  </w:abstractNum>
  <w:abstractNum w:abstractNumId="4" w15:restartNumberingAfterBreak="0">
    <w:nsid w:val="16A61A8D"/>
    <w:multiLevelType w:val="hybridMultilevel"/>
    <w:tmpl w:val="0DC23C66"/>
    <w:lvl w:ilvl="0" w:tplc="BAC489FE">
      <w:start w:val="1"/>
      <w:numFmt w:val="lowerLetter"/>
      <w:lvlText w:val="(%1)"/>
      <w:lvlJc w:val="left"/>
      <w:pPr>
        <w:tabs>
          <w:tab w:val="num" w:pos="720"/>
        </w:tabs>
        <w:ind w:left="720" w:hanging="360"/>
      </w:pPr>
      <w:rPr>
        <w:rFonts w:hint="default"/>
      </w:rPr>
    </w:lvl>
    <w:lvl w:ilvl="1" w:tplc="70783D0C" w:tentative="1">
      <w:start w:val="1"/>
      <w:numFmt w:val="lowerLetter"/>
      <w:lvlText w:val="%2."/>
      <w:lvlJc w:val="left"/>
      <w:pPr>
        <w:tabs>
          <w:tab w:val="num" w:pos="1440"/>
        </w:tabs>
        <w:ind w:left="1440" w:hanging="360"/>
      </w:pPr>
    </w:lvl>
    <w:lvl w:ilvl="2" w:tplc="72AE18C4" w:tentative="1">
      <w:start w:val="1"/>
      <w:numFmt w:val="lowerRoman"/>
      <w:lvlText w:val="%3."/>
      <w:lvlJc w:val="right"/>
      <w:pPr>
        <w:tabs>
          <w:tab w:val="num" w:pos="2160"/>
        </w:tabs>
        <w:ind w:left="2160" w:hanging="180"/>
      </w:pPr>
    </w:lvl>
    <w:lvl w:ilvl="3" w:tplc="7FBA7838" w:tentative="1">
      <w:start w:val="1"/>
      <w:numFmt w:val="decimal"/>
      <w:lvlText w:val="%4."/>
      <w:lvlJc w:val="left"/>
      <w:pPr>
        <w:tabs>
          <w:tab w:val="num" w:pos="2880"/>
        </w:tabs>
        <w:ind w:left="2880" w:hanging="360"/>
      </w:pPr>
    </w:lvl>
    <w:lvl w:ilvl="4" w:tplc="746243E6" w:tentative="1">
      <w:start w:val="1"/>
      <w:numFmt w:val="lowerLetter"/>
      <w:lvlText w:val="%5."/>
      <w:lvlJc w:val="left"/>
      <w:pPr>
        <w:tabs>
          <w:tab w:val="num" w:pos="3600"/>
        </w:tabs>
        <w:ind w:left="3600" w:hanging="360"/>
      </w:pPr>
    </w:lvl>
    <w:lvl w:ilvl="5" w:tplc="49F237CA" w:tentative="1">
      <w:start w:val="1"/>
      <w:numFmt w:val="lowerRoman"/>
      <w:lvlText w:val="%6."/>
      <w:lvlJc w:val="right"/>
      <w:pPr>
        <w:tabs>
          <w:tab w:val="num" w:pos="4320"/>
        </w:tabs>
        <w:ind w:left="4320" w:hanging="180"/>
      </w:pPr>
    </w:lvl>
    <w:lvl w:ilvl="6" w:tplc="88603C9E" w:tentative="1">
      <w:start w:val="1"/>
      <w:numFmt w:val="decimal"/>
      <w:lvlText w:val="%7."/>
      <w:lvlJc w:val="left"/>
      <w:pPr>
        <w:tabs>
          <w:tab w:val="num" w:pos="5040"/>
        </w:tabs>
        <w:ind w:left="5040" w:hanging="360"/>
      </w:pPr>
    </w:lvl>
    <w:lvl w:ilvl="7" w:tplc="C20E1B70" w:tentative="1">
      <w:start w:val="1"/>
      <w:numFmt w:val="lowerLetter"/>
      <w:lvlText w:val="%8."/>
      <w:lvlJc w:val="left"/>
      <w:pPr>
        <w:tabs>
          <w:tab w:val="num" w:pos="5760"/>
        </w:tabs>
        <w:ind w:left="5760" w:hanging="360"/>
      </w:pPr>
    </w:lvl>
    <w:lvl w:ilvl="8" w:tplc="0924233A" w:tentative="1">
      <w:start w:val="1"/>
      <w:numFmt w:val="lowerRoman"/>
      <w:lvlText w:val="%9."/>
      <w:lvlJc w:val="right"/>
      <w:pPr>
        <w:tabs>
          <w:tab w:val="num" w:pos="6480"/>
        </w:tabs>
        <w:ind w:left="6480" w:hanging="180"/>
      </w:pPr>
    </w:lvl>
  </w:abstractNum>
  <w:abstractNum w:abstractNumId="5" w15:restartNumberingAfterBreak="0">
    <w:nsid w:val="294C012F"/>
    <w:multiLevelType w:val="hybridMultilevel"/>
    <w:tmpl w:val="52AAAD9C"/>
    <w:lvl w:ilvl="0" w:tplc="AD9EFC6A">
      <w:start w:val="1"/>
      <w:numFmt w:val="lowerLetter"/>
      <w:lvlText w:val="(%1)"/>
      <w:lvlJc w:val="left"/>
      <w:pPr>
        <w:tabs>
          <w:tab w:val="num" w:pos="720"/>
        </w:tabs>
        <w:ind w:left="720" w:hanging="360"/>
      </w:pPr>
      <w:rPr>
        <w:rFonts w:hint="default"/>
      </w:rPr>
    </w:lvl>
    <w:lvl w:ilvl="1" w:tplc="F5846C60" w:tentative="1">
      <w:start w:val="1"/>
      <w:numFmt w:val="lowerLetter"/>
      <w:lvlText w:val="%2."/>
      <w:lvlJc w:val="left"/>
      <w:pPr>
        <w:tabs>
          <w:tab w:val="num" w:pos="1440"/>
        </w:tabs>
        <w:ind w:left="1440" w:hanging="360"/>
      </w:pPr>
    </w:lvl>
    <w:lvl w:ilvl="2" w:tplc="3E281270" w:tentative="1">
      <w:start w:val="1"/>
      <w:numFmt w:val="lowerRoman"/>
      <w:lvlText w:val="%3."/>
      <w:lvlJc w:val="right"/>
      <w:pPr>
        <w:tabs>
          <w:tab w:val="num" w:pos="2160"/>
        </w:tabs>
        <w:ind w:left="2160" w:hanging="180"/>
      </w:pPr>
    </w:lvl>
    <w:lvl w:ilvl="3" w:tplc="C720C952" w:tentative="1">
      <w:start w:val="1"/>
      <w:numFmt w:val="decimal"/>
      <w:lvlText w:val="%4."/>
      <w:lvlJc w:val="left"/>
      <w:pPr>
        <w:tabs>
          <w:tab w:val="num" w:pos="2880"/>
        </w:tabs>
        <w:ind w:left="2880" w:hanging="360"/>
      </w:pPr>
    </w:lvl>
    <w:lvl w:ilvl="4" w:tplc="D8C467A6" w:tentative="1">
      <w:start w:val="1"/>
      <w:numFmt w:val="lowerLetter"/>
      <w:lvlText w:val="%5."/>
      <w:lvlJc w:val="left"/>
      <w:pPr>
        <w:tabs>
          <w:tab w:val="num" w:pos="3600"/>
        </w:tabs>
        <w:ind w:left="3600" w:hanging="360"/>
      </w:pPr>
    </w:lvl>
    <w:lvl w:ilvl="5" w:tplc="D18CA624" w:tentative="1">
      <w:start w:val="1"/>
      <w:numFmt w:val="lowerRoman"/>
      <w:lvlText w:val="%6."/>
      <w:lvlJc w:val="right"/>
      <w:pPr>
        <w:tabs>
          <w:tab w:val="num" w:pos="4320"/>
        </w:tabs>
        <w:ind w:left="4320" w:hanging="180"/>
      </w:pPr>
    </w:lvl>
    <w:lvl w:ilvl="6" w:tplc="25BE4A66" w:tentative="1">
      <w:start w:val="1"/>
      <w:numFmt w:val="decimal"/>
      <w:lvlText w:val="%7."/>
      <w:lvlJc w:val="left"/>
      <w:pPr>
        <w:tabs>
          <w:tab w:val="num" w:pos="5040"/>
        </w:tabs>
        <w:ind w:left="5040" w:hanging="360"/>
      </w:pPr>
    </w:lvl>
    <w:lvl w:ilvl="7" w:tplc="AD925C2A" w:tentative="1">
      <w:start w:val="1"/>
      <w:numFmt w:val="lowerLetter"/>
      <w:lvlText w:val="%8."/>
      <w:lvlJc w:val="left"/>
      <w:pPr>
        <w:tabs>
          <w:tab w:val="num" w:pos="5760"/>
        </w:tabs>
        <w:ind w:left="5760" w:hanging="360"/>
      </w:pPr>
    </w:lvl>
    <w:lvl w:ilvl="8" w:tplc="4B266392" w:tentative="1">
      <w:start w:val="1"/>
      <w:numFmt w:val="lowerRoman"/>
      <w:lvlText w:val="%9."/>
      <w:lvlJc w:val="right"/>
      <w:pPr>
        <w:tabs>
          <w:tab w:val="num" w:pos="6480"/>
        </w:tabs>
        <w:ind w:left="6480" w:hanging="180"/>
      </w:pPr>
    </w:lvl>
  </w:abstractNum>
  <w:abstractNum w:abstractNumId="6" w15:restartNumberingAfterBreak="0">
    <w:nsid w:val="2A0D674A"/>
    <w:multiLevelType w:val="hybridMultilevel"/>
    <w:tmpl w:val="BB064BC4"/>
    <w:lvl w:ilvl="0" w:tplc="295C1DD4">
      <w:start w:val="1"/>
      <w:numFmt w:val="lowerLetter"/>
      <w:lvlText w:val="(%1)"/>
      <w:lvlJc w:val="left"/>
      <w:pPr>
        <w:ind w:left="1440" w:hanging="360"/>
      </w:pPr>
      <w:rPr>
        <w:rFonts w:hint="default"/>
      </w:rPr>
    </w:lvl>
    <w:lvl w:ilvl="1" w:tplc="D38AF6AC" w:tentative="1">
      <w:start w:val="1"/>
      <w:numFmt w:val="lowerLetter"/>
      <w:lvlText w:val="%2."/>
      <w:lvlJc w:val="left"/>
      <w:pPr>
        <w:ind w:left="2160" w:hanging="360"/>
      </w:pPr>
    </w:lvl>
    <w:lvl w:ilvl="2" w:tplc="AF2A79D2" w:tentative="1">
      <w:start w:val="1"/>
      <w:numFmt w:val="lowerRoman"/>
      <w:lvlText w:val="%3."/>
      <w:lvlJc w:val="right"/>
      <w:pPr>
        <w:ind w:left="2880" w:hanging="180"/>
      </w:pPr>
    </w:lvl>
    <w:lvl w:ilvl="3" w:tplc="E312A6EA" w:tentative="1">
      <w:start w:val="1"/>
      <w:numFmt w:val="decimal"/>
      <w:lvlText w:val="%4."/>
      <w:lvlJc w:val="left"/>
      <w:pPr>
        <w:ind w:left="3600" w:hanging="360"/>
      </w:pPr>
    </w:lvl>
    <w:lvl w:ilvl="4" w:tplc="F894D1CC" w:tentative="1">
      <w:start w:val="1"/>
      <w:numFmt w:val="lowerLetter"/>
      <w:lvlText w:val="%5."/>
      <w:lvlJc w:val="left"/>
      <w:pPr>
        <w:ind w:left="4320" w:hanging="360"/>
      </w:pPr>
    </w:lvl>
    <w:lvl w:ilvl="5" w:tplc="3FDE7C24" w:tentative="1">
      <w:start w:val="1"/>
      <w:numFmt w:val="lowerRoman"/>
      <w:lvlText w:val="%6."/>
      <w:lvlJc w:val="right"/>
      <w:pPr>
        <w:ind w:left="5040" w:hanging="180"/>
      </w:pPr>
    </w:lvl>
    <w:lvl w:ilvl="6" w:tplc="0456A216" w:tentative="1">
      <w:start w:val="1"/>
      <w:numFmt w:val="decimal"/>
      <w:lvlText w:val="%7."/>
      <w:lvlJc w:val="left"/>
      <w:pPr>
        <w:ind w:left="5760" w:hanging="360"/>
      </w:pPr>
    </w:lvl>
    <w:lvl w:ilvl="7" w:tplc="C5CE0CE8" w:tentative="1">
      <w:start w:val="1"/>
      <w:numFmt w:val="lowerLetter"/>
      <w:lvlText w:val="%8."/>
      <w:lvlJc w:val="left"/>
      <w:pPr>
        <w:ind w:left="6480" w:hanging="360"/>
      </w:pPr>
    </w:lvl>
    <w:lvl w:ilvl="8" w:tplc="8B9A0638" w:tentative="1">
      <w:start w:val="1"/>
      <w:numFmt w:val="lowerRoman"/>
      <w:lvlText w:val="%9."/>
      <w:lvlJc w:val="right"/>
      <w:pPr>
        <w:ind w:left="7200" w:hanging="180"/>
      </w:pPr>
    </w:lvl>
  </w:abstractNum>
  <w:abstractNum w:abstractNumId="7" w15:restartNumberingAfterBreak="0">
    <w:nsid w:val="3F29471F"/>
    <w:multiLevelType w:val="hybridMultilevel"/>
    <w:tmpl w:val="A8869D52"/>
    <w:lvl w:ilvl="0" w:tplc="DDFA7706">
      <w:start w:val="1"/>
      <w:numFmt w:val="lowerLetter"/>
      <w:lvlText w:val="(%1)"/>
      <w:lvlJc w:val="left"/>
      <w:pPr>
        <w:tabs>
          <w:tab w:val="num" w:pos="720"/>
        </w:tabs>
        <w:ind w:left="720" w:hanging="360"/>
      </w:pPr>
      <w:rPr>
        <w:rFonts w:hint="default"/>
      </w:rPr>
    </w:lvl>
    <w:lvl w:ilvl="1" w:tplc="C5BC6124">
      <w:start w:val="1"/>
      <w:numFmt w:val="lowerRoman"/>
      <w:lvlText w:val="(%2)"/>
      <w:lvlJc w:val="left"/>
      <w:pPr>
        <w:tabs>
          <w:tab w:val="num" w:pos="1440"/>
        </w:tabs>
        <w:ind w:left="1440" w:hanging="360"/>
      </w:pPr>
      <w:rPr>
        <w:rFonts w:hint="default"/>
      </w:rPr>
    </w:lvl>
    <w:lvl w:ilvl="2" w:tplc="00400934" w:tentative="1">
      <w:start w:val="1"/>
      <w:numFmt w:val="lowerRoman"/>
      <w:lvlText w:val="%3."/>
      <w:lvlJc w:val="right"/>
      <w:pPr>
        <w:tabs>
          <w:tab w:val="num" w:pos="2160"/>
        </w:tabs>
        <w:ind w:left="2160" w:hanging="180"/>
      </w:pPr>
    </w:lvl>
    <w:lvl w:ilvl="3" w:tplc="89FE6060" w:tentative="1">
      <w:start w:val="1"/>
      <w:numFmt w:val="decimal"/>
      <w:lvlText w:val="%4."/>
      <w:lvlJc w:val="left"/>
      <w:pPr>
        <w:tabs>
          <w:tab w:val="num" w:pos="2880"/>
        </w:tabs>
        <w:ind w:left="2880" w:hanging="360"/>
      </w:pPr>
    </w:lvl>
    <w:lvl w:ilvl="4" w:tplc="AE2ED126" w:tentative="1">
      <w:start w:val="1"/>
      <w:numFmt w:val="lowerLetter"/>
      <w:lvlText w:val="%5."/>
      <w:lvlJc w:val="left"/>
      <w:pPr>
        <w:tabs>
          <w:tab w:val="num" w:pos="3600"/>
        </w:tabs>
        <w:ind w:left="3600" w:hanging="360"/>
      </w:pPr>
    </w:lvl>
    <w:lvl w:ilvl="5" w:tplc="4D8EC162" w:tentative="1">
      <w:start w:val="1"/>
      <w:numFmt w:val="lowerRoman"/>
      <w:lvlText w:val="%6."/>
      <w:lvlJc w:val="right"/>
      <w:pPr>
        <w:tabs>
          <w:tab w:val="num" w:pos="4320"/>
        </w:tabs>
        <w:ind w:left="4320" w:hanging="180"/>
      </w:pPr>
    </w:lvl>
    <w:lvl w:ilvl="6" w:tplc="5054F968" w:tentative="1">
      <w:start w:val="1"/>
      <w:numFmt w:val="decimal"/>
      <w:lvlText w:val="%7."/>
      <w:lvlJc w:val="left"/>
      <w:pPr>
        <w:tabs>
          <w:tab w:val="num" w:pos="5040"/>
        </w:tabs>
        <w:ind w:left="5040" w:hanging="360"/>
      </w:pPr>
    </w:lvl>
    <w:lvl w:ilvl="7" w:tplc="CEDA3410" w:tentative="1">
      <w:start w:val="1"/>
      <w:numFmt w:val="lowerLetter"/>
      <w:lvlText w:val="%8."/>
      <w:lvlJc w:val="left"/>
      <w:pPr>
        <w:tabs>
          <w:tab w:val="num" w:pos="5760"/>
        </w:tabs>
        <w:ind w:left="5760" w:hanging="360"/>
      </w:pPr>
    </w:lvl>
    <w:lvl w:ilvl="8" w:tplc="D7B036C2" w:tentative="1">
      <w:start w:val="1"/>
      <w:numFmt w:val="lowerRoman"/>
      <w:lvlText w:val="%9."/>
      <w:lvlJc w:val="right"/>
      <w:pPr>
        <w:tabs>
          <w:tab w:val="num" w:pos="6480"/>
        </w:tabs>
        <w:ind w:left="6480" w:hanging="180"/>
      </w:pPr>
    </w:lvl>
  </w:abstractNum>
  <w:abstractNum w:abstractNumId="8" w15:restartNumberingAfterBreak="0">
    <w:nsid w:val="41A22D75"/>
    <w:multiLevelType w:val="multilevel"/>
    <w:tmpl w:val="05DAF712"/>
    <w:name w:val="zzmpLegal2||Legal2|2|3|1|1|10|9||1|10|1||1|10|1||1|10|1||1|12|0||1|12|0||1|12|0||1|12|0||1|12|0||"/>
    <w:lvl w:ilvl="0">
      <w:start w:val="1"/>
      <w:numFmt w:val="decimal"/>
      <w:pStyle w:val="Legal2L1"/>
      <w:lvlText w:val="%1."/>
      <w:lvlJc w:val="left"/>
      <w:pPr>
        <w:tabs>
          <w:tab w:val="num" w:pos="720"/>
        </w:tabs>
        <w:ind w:left="720" w:hanging="720"/>
      </w:pPr>
      <w:rPr>
        <w:b/>
        <w:i w:val="0"/>
        <w:caps/>
        <w:smallCaps w:val="0"/>
        <w:u w:val="none"/>
      </w:rPr>
    </w:lvl>
    <w:lvl w:ilvl="1">
      <w:start w:val="1"/>
      <w:numFmt w:val="decimal"/>
      <w:pStyle w:val="Legal2L2"/>
      <w:isLgl/>
      <w:lvlText w:val="%1.%2"/>
      <w:lvlJc w:val="left"/>
      <w:pPr>
        <w:tabs>
          <w:tab w:val="num" w:pos="1440"/>
        </w:tabs>
        <w:ind w:left="1440" w:hanging="720"/>
      </w:pPr>
      <w:rPr>
        <w:b w:val="0"/>
        <w:i w:val="0"/>
        <w:caps w:val="0"/>
        <w:smallCaps w:val="0"/>
        <w:u w:val="none"/>
      </w:rPr>
    </w:lvl>
    <w:lvl w:ilvl="2">
      <w:start w:val="1"/>
      <w:numFmt w:val="lowerLetter"/>
      <w:pStyle w:val="Legal2L3"/>
      <w:lvlText w:val="(%3)"/>
      <w:lvlJc w:val="left"/>
      <w:pPr>
        <w:tabs>
          <w:tab w:val="num" w:pos="2160"/>
        </w:tabs>
        <w:ind w:left="2160" w:hanging="720"/>
      </w:pPr>
      <w:rPr>
        <w:b w:val="0"/>
        <w:i w:val="0"/>
        <w:caps w:val="0"/>
        <w:smallCaps w:val="0"/>
        <w:u w:val="none"/>
      </w:rPr>
    </w:lvl>
    <w:lvl w:ilvl="3">
      <w:start w:val="1"/>
      <w:numFmt w:val="lowerRoman"/>
      <w:pStyle w:val="Legal2L4"/>
      <w:lvlText w:val="(%4)"/>
      <w:lvlJc w:val="left"/>
      <w:pPr>
        <w:tabs>
          <w:tab w:val="num" w:pos="2880"/>
        </w:tabs>
        <w:ind w:left="2880" w:hanging="720"/>
      </w:pPr>
      <w:rPr>
        <w:b w:val="0"/>
        <w:i w:val="0"/>
        <w:caps w:val="0"/>
        <w:smallCaps w:val="0"/>
        <w:u w:val="none"/>
      </w:rPr>
    </w:lvl>
    <w:lvl w:ilvl="4">
      <w:start w:val="1"/>
      <w:numFmt w:val="decimal"/>
      <w:pStyle w:val="Legal2L5"/>
      <w:lvlText w:val="(%5)"/>
      <w:lvlJc w:val="left"/>
      <w:pPr>
        <w:tabs>
          <w:tab w:val="num" w:pos="3600"/>
        </w:tabs>
        <w:ind w:left="0" w:firstLine="2880"/>
      </w:pPr>
      <w:rPr>
        <w:b w:val="0"/>
        <w:i w:val="0"/>
        <w:caps w:val="0"/>
        <w:smallCaps w:val="0"/>
        <w:u w:val="none"/>
      </w:rPr>
    </w:lvl>
    <w:lvl w:ilvl="5">
      <w:start w:val="1"/>
      <w:numFmt w:val="lowerLetter"/>
      <w:pStyle w:val="Legal2L6"/>
      <w:lvlText w:val="%6."/>
      <w:lvlJc w:val="left"/>
      <w:pPr>
        <w:tabs>
          <w:tab w:val="num" w:pos="4320"/>
        </w:tabs>
        <w:ind w:left="0" w:firstLine="3600"/>
      </w:pPr>
      <w:rPr>
        <w:b w:val="0"/>
        <w:i w:val="0"/>
        <w:caps w:val="0"/>
        <w:smallCaps w:val="0"/>
        <w:u w:val="none"/>
      </w:rPr>
    </w:lvl>
    <w:lvl w:ilvl="6">
      <w:start w:val="1"/>
      <w:numFmt w:val="lowerRoman"/>
      <w:pStyle w:val="Legal2L7"/>
      <w:lvlText w:val="%7."/>
      <w:lvlJc w:val="left"/>
      <w:pPr>
        <w:tabs>
          <w:tab w:val="num" w:pos="5040"/>
        </w:tabs>
        <w:ind w:left="0" w:firstLine="4320"/>
      </w:pPr>
      <w:rPr>
        <w:b w:val="0"/>
        <w:i w:val="0"/>
        <w:caps w:val="0"/>
        <w:smallCaps w:val="0"/>
        <w:u w:val="none"/>
      </w:rPr>
    </w:lvl>
    <w:lvl w:ilvl="7">
      <w:start w:val="1"/>
      <w:numFmt w:val="lowerLetter"/>
      <w:pStyle w:val="Legal2L8"/>
      <w:lvlText w:val="%8)"/>
      <w:lvlJc w:val="left"/>
      <w:pPr>
        <w:tabs>
          <w:tab w:val="num" w:pos="5760"/>
        </w:tabs>
        <w:ind w:left="0" w:firstLine="5040"/>
      </w:pPr>
      <w:rPr>
        <w:b w:val="0"/>
        <w:i w:val="0"/>
        <w:caps w:val="0"/>
        <w:smallCaps w:val="0"/>
        <w:u w:val="none"/>
      </w:rPr>
    </w:lvl>
    <w:lvl w:ilvl="8">
      <w:start w:val="1"/>
      <w:numFmt w:val="lowerRoman"/>
      <w:pStyle w:val="Legal2L9"/>
      <w:lvlText w:val="%9)"/>
      <w:lvlJc w:val="left"/>
      <w:pPr>
        <w:tabs>
          <w:tab w:val="num" w:pos="6480"/>
        </w:tabs>
        <w:ind w:left="0" w:firstLine="5760"/>
      </w:pPr>
      <w:rPr>
        <w:b w:val="0"/>
        <w:i w:val="0"/>
        <w:caps w:val="0"/>
        <w:smallCaps w:val="0"/>
        <w:u w:val="none"/>
      </w:rPr>
    </w:lvl>
  </w:abstractNum>
  <w:abstractNum w:abstractNumId="9" w15:restartNumberingAfterBreak="0">
    <w:nsid w:val="58A17308"/>
    <w:multiLevelType w:val="singleLevel"/>
    <w:tmpl w:val="C83C1AD6"/>
    <w:lvl w:ilvl="0">
      <w:start w:val="1"/>
      <w:numFmt w:val="lowerLetter"/>
      <w:lvlText w:val="(%1)"/>
      <w:lvlJc w:val="left"/>
      <w:pPr>
        <w:tabs>
          <w:tab w:val="num" w:pos="360"/>
        </w:tabs>
        <w:ind w:left="360" w:hanging="360"/>
      </w:pPr>
      <w:rPr>
        <w:rFonts w:hint="default"/>
      </w:rPr>
    </w:lvl>
  </w:abstractNum>
  <w:abstractNum w:abstractNumId="10" w15:restartNumberingAfterBreak="0">
    <w:nsid w:val="597358CB"/>
    <w:multiLevelType w:val="hybridMultilevel"/>
    <w:tmpl w:val="B4943B16"/>
    <w:lvl w:ilvl="0" w:tplc="D70A2E18">
      <w:start w:val="1"/>
      <w:numFmt w:val="lowerLetter"/>
      <w:lvlText w:val="(%1)"/>
      <w:lvlJc w:val="left"/>
      <w:pPr>
        <w:tabs>
          <w:tab w:val="num" w:pos="720"/>
        </w:tabs>
        <w:ind w:left="720" w:hanging="360"/>
      </w:pPr>
      <w:rPr>
        <w:rFonts w:hint="default"/>
        <w:b w:val="0"/>
      </w:rPr>
    </w:lvl>
    <w:lvl w:ilvl="1" w:tplc="D01EC392" w:tentative="1">
      <w:start w:val="1"/>
      <w:numFmt w:val="lowerLetter"/>
      <w:lvlText w:val="%2."/>
      <w:lvlJc w:val="left"/>
      <w:pPr>
        <w:tabs>
          <w:tab w:val="num" w:pos="1440"/>
        </w:tabs>
        <w:ind w:left="1440" w:hanging="360"/>
      </w:pPr>
    </w:lvl>
    <w:lvl w:ilvl="2" w:tplc="444463B4" w:tentative="1">
      <w:start w:val="1"/>
      <w:numFmt w:val="lowerRoman"/>
      <w:lvlText w:val="%3."/>
      <w:lvlJc w:val="right"/>
      <w:pPr>
        <w:tabs>
          <w:tab w:val="num" w:pos="2160"/>
        </w:tabs>
        <w:ind w:left="2160" w:hanging="180"/>
      </w:pPr>
    </w:lvl>
    <w:lvl w:ilvl="3" w:tplc="67BE5440" w:tentative="1">
      <w:start w:val="1"/>
      <w:numFmt w:val="decimal"/>
      <w:lvlText w:val="%4."/>
      <w:lvlJc w:val="left"/>
      <w:pPr>
        <w:tabs>
          <w:tab w:val="num" w:pos="2880"/>
        </w:tabs>
        <w:ind w:left="2880" w:hanging="360"/>
      </w:pPr>
    </w:lvl>
    <w:lvl w:ilvl="4" w:tplc="8E2254DE" w:tentative="1">
      <w:start w:val="1"/>
      <w:numFmt w:val="lowerLetter"/>
      <w:lvlText w:val="%5."/>
      <w:lvlJc w:val="left"/>
      <w:pPr>
        <w:tabs>
          <w:tab w:val="num" w:pos="3600"/>
        </w:tabs>
        <w:ind w:left="3600" w:hanging="360"/>
      </w:pPr>
    </w:lvl>
    <w:lvl w:ilvl="5" w:tplc="2C0C2E32" w:tentative="1">
      <w:start w:val="1"/>
      <w:numFmt w:val="lowerRoman"/>
      <w:lvlText w:val="%6."/>
      <w:lvlJc w:val="right"/>
      <w:pPr>
        <w:tabs>
          <w:tab w:val="num" w:pos="4320"/>
        </w:tabs>
        <w:ind w:left="4320" w:hanging="180"/>
      </w:pPr>
    </w:lvl>
    <w:lvl w:ilvl="6" w:tplc="A15CAFB2" w:tentative="1">
      <w:start w:val="1"/>
      <w:numFmt w:val="decimal"/>
      <w:lvlText w:val="%7."/>
      <w:lvlJc w:val="left"/>
      <w:pPr>
        <w:tabs>
          <w:tab w:val="num" w:pos="5040"/>
        </w:tabs>
        <w:ind w:left="5040" w:hanging="360"/>
      </w:pPr>
    </w:lvl>
    <w:lvl w:ilvl="7" w:tplc="C1EAD798" w:tentative="1">
      <w:start w:val="1"/>
      <w:numFmt w:val="lowerLetter"/>
      <w:lvlText w:val="%8."/>
      <w:lvlJc w:val="left"/>
      <w:pPr>
        <w:tabs>
          <w:tab w:val="num" w:pos="5760"/>
        </w:tabs>
        <w:ind w:left="5760" w:hanging="360"/>
      </w:pPr>
    </w:lvl>
    <w:lvl w:ilvl="8" w:tplc="9DB017DC" w:tentative="1">
      <w:start w:val="1"/>
      <w:numFmt w:val="lowerRoman"/>
      <w:lvlText w:val="%9."/>
      <w:lvlJc w:val="right"/>
      <w:pPr>
        <w:tabs>
          <w:tab w:val="num" w:pos="6480"/>
        </w:tabs>
        <w:ind w:left="6480" w:hanging="180"/>
      </w:pPr>
    </w:lvl>
  </w:abstractNum>
  <w:abstractNum w:abstractNumId="11" w15:restartNumberingAfterBreak="0">
    <w:nsid w:val="5C2C478A"/>
    <w:multiLevelType w:val="hybridMultilevel"/>
    <w:tmpl w:val="4838E6CA"/>
    <w:lvl w:ilvl="0" w:tplc="4930468E">
      <w:start w:val="1"/>
      <w:numFmt w:val="bullet"/>
      <w:pStyle w:val="ListBullet2"/>
      <w:lvlText w:val=""/>
      <w:lvlJc w:val="left"/>
      <w:pPr>
        <w:ind w:left="720" w:hanging="360"/>
      </w:pPr>
      <w:rPr>
        <w:rFonts w:ascii="Symbol" w:hAnsi="Symbol" w:hint="default"/>
      </w:rPr>
    </w:lvl>
    <w:lvl w:ilvl="1" w:tplc="17DEF856" w:tentative="1">
      <w:start w:val="1"/>
      <w:numFmt w:val="bullet"/>
      <w:lvlText w:val="o"/>
      <w:lvlJc w:val="left"/>
      <w:pPr>
        <w:ind w:left="1440" w:hanging="360"/>
      </w:pPr>
      <w:rPr>
        <w:rFonts w:ascii="Courier New" w:hAnsi="Courier New" w:cs="Courier New" w:hint="default"/>
      </w:rPr>
    </w:lvl>
    <w:lvl w:ilvl="2" w:tplc="B43CF2F6" w:tentative="1">
      <w:start w:val="1"/>
      <w:numFmt w:val="bullet"/>
      <w:lvlText w:val=""/>
      <w:lvlJc w:val="left"/>
      <w:pPr>
        <w:ind w:left="2160" w:hanging="360"/>
      </w:pPr>
      <w:rPr>
        <w:rFonts w:ascii="Wingdings" w:hAnsi="Wingdings" w:hint="default"/>
      </w:rPr>
    </w:lvl>
    <w:lvl w:ilvl="3" w:tplc="6616F46E" w:tentative="1">
      <w:start w:val="1"/>
      <w:numFmt w:val="bullet"/>
      <w:lvlText w:val=""/>
      <w:lvlJc w:val="left"/>
      <w:pPr>
        <w:ind w:left="2880" w:hanging="360"/>
      </w:pPr>
      <w:rPr>
        <w:rFonts w:ascii="Symbol" w:hAnsi="Symbol" w:hint="default"/>
      </w:rPr>
    </w:lvl>
    <w:lvl w:ilvl="4" w:tplc="C390FCD4" w:tentative="1">
      <w:start w:val="1"/>
      <w:numFmt w:val="bullet"/>
      <w:lvlText w:val="o"/>
      <w:lvlJc w:val="left"/>
      <w:pPr>
        <w:ind w:left="3600" w:hanging="360"/>
      </w:pPr>
      <w:rPr>
        <w:rFonts w:ascii="Courier New" w:hAnsi="Courier New" w:cs="Courier New" w:hint="default"/>
      </w:rPr>
    </w:lvl>
    <w:lvl w:ilvl="5" w:tplc="043E288E" w:tentative="1">
      <w:start w:val="1"/>
      <w:numFmt w:val="bullet"/>
      <w:lvlText w:val=""/>
      <w:lvlJc w:val="left"/>
      <w:pPr>
        <w:ind w:left="4320" w:hanging="360"/>
      </w:pPr>
      <w:rPr>
        <w:rFonts w:ascii="Wingdings" w:hAnsi="Wingdings" w:hint="default"/>
      </w:rPr>
    </w:lvl>
    <w:lvl w:ilvl="6" w:tplc="1B10B31C" w:tentative="1">
      <w:start w:val="1"/>
      <w:numFmt w:val="bullet"/>
      <w:lvlText w:val=""/>
      <w:lvlJc w:val="left"/>
      <w:pPr>
        <w:ind w:left="5040" w:hanging="360"/>
      </w:pPr>
      <w:rPr>
        <w:rFonts w:ascii="Symbol" w:hAnsi="Symbol" w:hint="default"/>
      </w:rPr>
    </w:lvl>
    <w:lvl w:ilvl="7" w:tplc="B2D05BE4" w:tentative="1">
      <w:start w:val="1"/>
      <w:numFmt w:val="bullet"/>
      <w:lvlText w:val="o"/>
      <w:lvlJc w:val="left"/>
      <w:pPr>
        <w:ind w:left="5760" w:hanging="360"/>
      </w:pPr>
      <w:rPr>
        <w:rFonts w:ascii="Courier New" w:hAnsi="Courier New" w:cs="Courier New" w:hint="default"/>
      </w:rPr>
    </w:lvl>
    <w:lvl w:ilvl="8" w:tplc="9C502B62" w:tentative="1">
      <w:start w:val="1"/>
      <w:numFmt w:val="bullet"/>
      <w:lvlText w:val=""/>
      <w:lvlJc w:val="left"/>
      <w:pPr>
        <w:ind w:left="6480" w:hanging="360"/>
      </w:pPr>
      <w:rPr>
        <w:rFonts w:ascii="Wingdings" w:hAnsi="Wingdings" w:hint="default"/>
      </w:rPr>
    </w:lvl>
  </w:abstractNum>
  <w:abstractNum w:abstractNumId="12" w15:restartNumberingAfterBreak="0">
    <w:nsid w:val="60184796"/>
    <w:multiLevelType w:val="hybridMultilevel"/>
    <w:tmpl w:val="20AEF46C"/>
    <w:lvl w:ilvl="0" w:tplc="4AFC3B9C">
      <w:start w:val="1"/>
      <w:numFmt w:val="lowerLetter"/>
      <w:lvlText w:val="(%1)"/>
      <w:lvlJc w:val="left"/>
      <w:pPr>
        <w:ind w:left="2880" w:hanging="360"/>
      </w:pPr>
      <w:rPr>
        <w:rFonts w:hint="default"/>
      </w:rPr>
    </w:lvl>
    <w:lvl w:ilvl="1" w:tplc="18F017A2" w:tentative="1">
      <w:start w:val="1"/>
      <w:numFmt w:val="lowerLetter"/>
      <w:lvlText w:val="%2."/>
      <w:lvlJc w:val="left"/>
      <w:pPr>
        <w:ind w:left="3600" w:hanging="360"/>
      </w:pPr>
    </w:lvl>
    <w:lvl w:ilvl="2" w:tplc="070A8312">
      <w:start w:val="1"/>
      <w:numFmt w:val="lowerLetter"/>
      <w:lvlText w:val="(%3)"/>
      <w:lvlJc w:val="left"/>
      <w:pPr>
        <w:ind w:left="4320" w:hanging="180"/>
      </w:pPr>
      <w:rPr>
        <w:rFonts w:hint="default"/>
      </w:rPr>
    </w:lvl>
    <w:lvl w:ilvl="3" w:tplc="E31E918E" w:tentative="1">
      <w:start w:val="1"/>
      <w:numFmt w:val="decimal"/>
      <w:lvlText w:val="%4."/>
      <w:lvlJc w:val="left"/>
      <w:pPr>
        <w:ind w:left="5040" w:hanging="360"/>
      </w:pPr>
    </w:lvl>
    <w:lvl w:ilvl="4" w:tplc="62AE445E" w:tentative="1">
      <w:start w:val="1"/>
      <w:numFmt w:val="lowerLetter"/>
      <w:lvlText w:val="%5."/>
      <w:lvlJc w:val="left"/>
      <w:pPr>
        <w:ind w:left="5760" w:hanging="360"/>
      </w:pPr>
    </w:lvl>
    <w:lvl w:ilvl="5" w:tplc="24647724" w:tentative="1">
      <w:start w:val="1"/>
      <w:numFmt w:val="lowerRoman"/>
      <w:lvlText w:val="%6."/>
      <w:lvlJc w:val="right"/>
      <w:pPr>
        <w:ind w:left="6480" w:hanging="180"/>
      </w:pPr>
    </w:lvl>
    <w:lvl w:ilvl="6" w:tplc="27B499A2" w:tentative="1">
      <w:start w:val="1"/>
      <w:numFmt w:val="decimal"/>
      <w:lvlText w:val="%7."/>
      <w:lvlJc w:val="left"/>
      <w:pPr>
        <w:ind w:left="7200" w:hanging="360"/>
      </w:pPr>
    </w:lvl>
    <w:lvl w:ilvl="7" w:tplc="6C94C2C6" w:tentative="1">
      <w:start w:val="1"/>
      <w:numFmt w:val="lowerLetter"/>
      <w:lvlText w:val="%8."/>
      <w:lvlJc w:val="left"/>
      <w:pPr>
        <w:ind w:left="7920" w:hanging="360"/>
      </w:pPr>
    </w:lvl>
    <w:lvl w:ilvl="8" w:tplc="980438C2" w:tentative="1">
      <w:start w:val="1"/>
      <w:numFmt w:val="lowerRoman"/>
      <w:lvlText w:val="%9."/>
      <w:lvlJc w:val="right"/>
      <w:pPr>
        <w:ind w:left="8640" w:hanging="180"/>
      </w:pPr>
    </w:lvl>
  </w:abstractNum>
  <w:num w:numId="1">
    <w:abstractNumId w:val="2"/>
  </w:num>
  <w:num w:numId="2">
    <w:abstractNumId w:val="2"/>
  </w:num>
  <w:num w:numId="3">
    <w:abstractNumId w:val="1"/>
  </w:num>
  <w:num w:numId="4">
    <w:abstractNumId w:val="11"/>
  </w:num>
  <w:num w:numId="5">
    <w:abstractNumId w:val="0"/>
  </w:num>
  <w:num w:numId="6">
    <w:abstractNumId w:val="0"/>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2"/>
  </w:num>
  <w:num w:numId="17">
    <w:abstractNumId w:val="11"/>
  </w:num>
  <w:num w:numId="18">
    <w:abstractNumId w:val="0"/>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6"/>
  </w:num>
  <w:num w:numId="33">
    <w:abstractNumId w:val="3"/>
  </w:num>
  <w:num w:numId="34">
    <w:abstractNumId w:val="9"/>
  </w:num>
  <w:num w:numId="35">
    <w:abstractNumId w:val="4"/>
  </w:num>
  <w:num w:numId="36">
    <w:abstractNumId w:val="7"/>
  </w:num>
  <w:num w:numId="37">
    <w:abstractNumId w:val="5"/>
  </w:num>
  <w:num w:numId="38">
    <w:abstractNumId w:val="1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DocStamp_1_OptionalControlValues" w:val="Library|&amp;Library|0|%l|Version|&amp;Version|1|%v|ClientMatter|&amp;Client/Matter|0|%cm"/>
    <w:docVar w:name="MPDocID" w:val="34393386v1"/>
    <w:docVar w:name="MPDocIDTemplate" w:val=" %n|v%v"/>
    <w:docVar w:name="MPDocIDTemplateDefault" w:val="%l| %n|v%v| %c|.%m"/>
    <w:docVar w:name="NewDocStampType" w:val="1"/>
    <w:docVar w:name="zzmpTrailerDateFormat" w:val="0"/>
  </w:docVars>
  <w:rsids>
    <w:rsidRoot w:val="00EB314E"/>
    <w:rsid w:val="00023D63"/>
    <w:rsid w:val="0007719C"/>
    <w:rsid w:val="000D6968"/>
    <w:rsid w:val="000F7AFF"/>
    <w:rsid w:val="001A42E0"/>
    <w:rsid w:val="001C0D95"/>
    <w:rsid w:val="001C40D3"/>
    <w:rsid w:val="00211595"/>
    <w:rsid w:val="00240ECA"/>
    <w:rsid w:val="00250B12"/>
    <w:rsid w:val="002930E1"/>
    <w:rsid w:val="002C4FC0"/>
    <w:rsid w:val="002F25C2"/>
    <w:rsid w:val="00302FD2"/>
    <w:rsid w:val="00304CEB"/>
    <w:rsid w:val="003469CD"/>
    <w:rsid w:val="003D6784"/>
    <w:rsid w:val="0045664B"/>
    <w:rsid w:val="004676BD"/>
    <w:rsid w:val="0048102D"/>
    <w:rsid w:val="004F3C68"/>
    <w:rsid w:val="00514880"/>
    <w:rsid w:val="00531118"/>
    <w:rsid w:val="00561486"/>
    <w:rsid w:val="0056509A"/>
    <w:rsid w:val="00571C5C"/>
    <w:rsid w:val="005A6EC0"/>
    <w:rsid w:val="005E21FD"/>
    <w:rsid w:val="00627A41"/>
    <w:rsid w:val="00682E4B"/>
    <w:rsid w:val="006C2631"/>
    <w:rsid w:val="006F200B"/>
    <w:rsid w:val="00764F03"/>
    <w:rsid w:val="00797E1A"/>
    <w:rsid w:val="007D5007"/>
    <w:rsid w:val="0080144B"/>
    <w:rsid w:val="008261F5"/>
    <w:rsid w:val="00895CC1"/>
    <w:rsid w:val="008A4B14"/>
    <w:rsid w:val="008B3D8E"/>
    <w:rsid w:val="008D02B6"/>
    <w:rsid w:val="00935EA8"/>
    <w:rsid w:val="00970F5F"/>
    <w:rsid w:val="00994EB5"/>
    <w:rsid w:val="00B04417"/>
    <w:rsid w:val="00B1360F"/>
    <w:rsid w:val="00BE6993"/>
    <w:rsid w:val="00C75297"/>
    <w:rsid w:val="00CD6FEB"/>
    <w:rsid w:val="00D4458B"/>
    <w:rsid w:val="00DB3199"/>
    <w:rsid w:val="00DF5790"/>
    <w:rsid w:val="00E07486"/>
    <w:rsid w:val="00E6684B"/>
    <w:rsid w:val="00EB314E"/>
    <w:rsid w:val="00F97C9D"/>
    <w:rsid w:val="00FC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70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7"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7613"/>
    <w:rPr>
      <w:sz w:val="24"/>
      <w:szCs w:val="24"/>
    </w:rPr>
  </w:style>
  <w:style w:type="paragraph" w:styleId="Heading1">
    <w:name w:val="heading 1"/>
    <w:basedOn w:val="Normal"/>
    <w:next w:val="Normal"/>
    <w:link w:val="Heading1Char"/>
    <w:uiPriority w:val="9"/>
    <w:qFormat/>
    <w:rsid w:val="004D6219"/>
    <w:pPr>
      <w:keepNext/>
      <w:keepLines/>
      <w:spacing w:after="240"/>
      <w:outlineLvl w:val="0"/>
    </w:pPr>
    <w:rPr>
      <w:b/>
      <w:bCs/>
      <w:szCs w:val="28"/>
    </w:rPr>
  </w:style>
  <w:style w:type="paragraph" w:styleId="Heading2">
    <w:name w:val="heading 2"/>
    <w:basedOn w:val="Normal"/>
    <w:next w:val="Normal"/>
    <w:link w:val="Heading2Char"/>
    <w:uiPriority w:val="9"/>
    <w:unhideWhenUsed/>
    <w:qFormat/>
    <w:rsid w:val="004D6219"/>
    <w:pPr>
      <w:keepNext/>
      <w:keepLines/>
      <w:spacing w:after="240"/>
      <w:ind w:left="1440" w:hanging="720"/>
      <w:outlineLvl w:val="1"/>
    </w:pPr>
    <w:rPr>
      <w:b/>
      <w:bCs/>
      <w:szCs w:val="26"/>
    </w:rPr>
  </w:style>
  <w:style w:type="paragraph" w:styleId="Heading3">
    <w:name w:val="heading 3"/>
    <w:basedOn w:val="Normal"/>
    <w:next w:val="Normal"/>
    <w:link w:val="Heading3Char"/>
    <w:uiPriority w:val="9"/>
    <w:unhideWhenUsed/>
    <w:qFormat/>
    <w:rsid w:val="004D6219"/>
    <w:pPr>
      <w:keepNext/>
      <w:keepLines/>
      <w:spacing w:after="240"/>
      <w:ind w:left="216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4D6219"/>
    <w:pPr>
      <w:spacing w:after="240"/>
      <w:ind w:left="720" w:right="720"/>
    </w:pPr>
    <w:rPr>
      <w:iCs/>
    </w:rPr>
  </w:style>
  <w:style w:type="paragraph" w:styleId="BodyText">
    <w:name w:val="Body Text"/>
    <w:basedOn w:val="Normal"/>
    <w:link w:val="BodyTextChar"/>
    <w:rsid w:val="00077613"/>
    <w:pPr>
      <w:spacing w:after="240"/>
      <w:jc w:val="both"/>
    </w:pPr>
  </w:style>
  <w:style w:type="character" w:customStyle="1" w:styleId="BodyTextChar">
    <w:name w:val="Body Text Char"/>
    <w:link w:val="BodyText"/>
    <w:rsid w:val="004D6219"/>
    <w:rPr>
      <w:sz w:val="24"/>
      <w:szCs w:val="24"/>
    </w:rPr>
  </w:style>
  <w:style w:type="paragraph" w:styleId="BodyText2">
    <w:name w:val="Body Text 2"/>
    <w:basedOn w:val="Normal"/>
    <w:link w:val="BodyText2Char"/>
    <w:uiPriority w:val="99"/>
    <w:rsid w:val="004D6219"/>
    <w:pPr>
      <w:spacing w:after="240"/>
      <w:ind w:firstLine="720"/>
      <w:jc w:val="both"/>
    </w:pPr>
  </w:style>
  <w:style w:type="character" w:customStyle="1" w:styleId="BodyText2Char">
    <w:name w:val="Body Text 2 Char"/>
    <w:link w:val="BodyText2"/>
    <w:uiPriority w:val="99"/>
    <w:rsid w:val="004D6219"/>
    <w:rPr>
      <w:rFonts w:cs="Times New Roman"/>
    </w:rPr>
  </w:style>
  <w:style w:type="paragraph" w:styleId="BodyText3">
    <w:name w:val="Body Text 3"/>
    <w:basedOn w:val="Normal"/>
    <w:link w:val="BodyText3Char"/>
    <w:uiPriority w:val="99"/>
    <w:rsid w:val="004D6219"/>
    <w:pPr>
      <w:spacing w:after="240"/>
      <w:ind w:firstLine="1440"/>
    </w:pPr>
    <w:rPr>
      <w:szCs w:val="16"/>
    </w:rPr>
  </w:style>
  <w:style w:type="character" w:customStyle="1" w:styleId="BodyText3Char">
    <w:name w:val="Body Text 3 Char"/>
    <w:link w:val="BodyText3"/>
    <w:uiPriority w:val="99"/>
    <w:rsid w:val="004D6219"/>
    <w:rPr>
      <w:rFonts w:cs="Times New Roman"/>
      <w:szCs w:val="16"/>
    </w:rPr>
  </w:style>
  <w:style w:type="paragraph" w:customStyle="1" w:styleId="BodyTextContinued">
    <w:name w:val="Body Text Continued"/>
    <w:basedOn w:val="BodyText"/>
    <w:next w:val="BodyText"/>
    <w:rsid w:val="00077613"/>
    <w:rPr>
      <w:szCs w:val="20"/>
    </w:rPr>
  </w:style>
  <w:style w:type="paragraph" w:styleId="BodyTextFirstIndent">
    <w:name w:val="Body Text First Indent"/>
    <w:basedOn w:val="Normal"/>
    <w:link w:val="BodyTextFirstIndentChar"/>
    <w:uiPriority w:val="99"/>
    <w:rsid w:val="004D6219"/>
    <w:pPr>
      <w:spacing w:after="240"/>
      <w:ind w:left="720" w:firstLine="720"/>
    </w:pPr>
  </w:style>
  <w:style w:type="character" w:customStyle="1" w:styleId="BodyTextFirstIndentChar">
    <w:name w:val="Body Text First Indent Char"/>
    <w:link w:val="BodyTextFirstIndent"/>
    <w:uiPriority w:val="99"/>
    <w:rsid w:val="004D6219"/>
    <w:rPr>
      <w:rFonts w:cs="Times New Roman"/>
    </w:rPr>
  </w:style>
  <w:style w:type="paragraph" w:styleId="BodyTextIndent">
    <w:name w:val="Body Text Indent"/>
    <w:basedOn w:val="Normal"/>
    <w:link w:val="BodyTextIndentChar"/>
    <w:uiPriority w:val="99"/>
    <w:rsid w:val="00077613"/>
    <w:pPr>
      <w:spacing w:after="240"/>
      <w:ind w:left="1440"/>
      <w:jc w:val="both"/>
    </w:pPr>
    <w:rPr>
      <w:kern w:val="18"/>
    </w:rPr>
  </w:style>
  <w:style w:type="character" w:customStyle="1" w:styleId="BodyTextIndentChar">
    <w:name w:val="Body Text Indent Char"/>
    <w:link w:val="BodyTextIndent"/>
    <w:uiPriority w:val="99"/>
    <w:rsid w:val="004D6219"/>
    <w:rPr>
      <w:kern w:val="18"/>
      <w:sz w:val="24"/>
      <w:szCs w:val="24"/>
    </w:rPr>
  </w:style>
  <w:style w:type="paragraph" w:styleId="BodyTextFirstIndent2">
    <w:name w:val="Body Text First Indent 2"/>
    <w:basedOn w:val="Normal"/>
    <w:link w:val="BodyTextFirstIndent2Char"/>
    <w:uiPriority w:val="99"/>
    <w:rsid w:val="004D6219"/>
    <w:pPr>
      <w:spacing w:after="240"/>
      <w:ind w:left="1440" w:firstLine="720"/>
    </w:pPr>
  </w:style>
  <w:style w:type="character" w:customStyle="1" w:styleId="BodyTextFirstIndent2Char">
    <w:name w:val="Body Text First Indent 2 Char"/>
    <w:link w:val="BodyTextFirstIndent2"/>
    <w:uiPriority w:val="99"/>
    <w:rsid w:val="004D6219"/>
    <w:rPr>
      <w:rFonts w:cs="Times New Roman"/>
      <w:kern w:val="18"/>
    </w:rPr>
  </w:style>
  <w:style w:type="paragraph" w:customStyle="1" w:styleId="BodyTextHang1">
    <w:name w:val="Body Text Hang 1"/>
    <w:basedOn w:val="Normal"/>
    <w:qFormat/>
    <w:rsid w:val="004D6219"/>
    <w:pPr>
      <w:spacing w:after="240"/>
      <w:ind w:left="720" w:hanging="720"/>
      <w:jc w:val="both"/>
    </w:pPr>
  </w:style>
  <w:style w:type="paragraph" w:customStyle="1" w:styleId="BodyTextHang2">
    <w:name w:val="Body Text Hang 2"/>
    <w:basedOn w:val="BodyTextHang1"/>
    <w:qFormat/>
    <w:rsid w:val="004D6219"/>
    <w:pPr>
      <w:ind w:left="1440"/>
    </w:pPr>
    <w:rPr>
      <w:kern w:val="18"/>
    </w:rPr>
  </w:style>
  <w:style w:type="paragraph" w:styleId="BodyTextIndent2">
    <w:name w:val="Body Text Indent 2"/>
    <w:basedOn w:val="BodyTextIndent"/>
    <w:link w:val="BodyTextIndent2Char"/>
    <w:uiPriority w:val="99"/>
    <w:rsid w:val="004D6219"/>
    <w:pPr>
      <w:ind w:left="2160"/>
    </w:pPr>
  </w:style>
  <w:style w:type="character" w:customStyle="1" w:styleId="BodyTextIndent2Char">
    <w:name w:val="Body Text Indent 2 Char"/>
    <w:link w:val="BodyTextIndent2"/>
    <w:uiPriority w:val="99"/>
    <w:rsid w:val="004D6219"/>
    <w:rPr>
      <w:rFonts w:cs="Times New Roman"/>
      <w:kern w:val="18"/>
    </w:rPr>
  </w:style>
  <w:style w:type="paragraph" w:styleId="BodyTextIndent3">
    <w:name w:val="Body Text Indent 3"/>
    <w:basedOn w:val="Normal"/>
    <w:link w:val="BodyTextIndent3Char"/>
    <w:uiPriority w:val="99"/>
    <w:rsid w:val="00077613"/>
    <w:pPr>
      <w:spacing w:after="240"/>
      <w:ind w:left="2160"/>
      <w:jc w:val="both"/>
    </w:pPr>
    <w:rPr>
      <w:szCs w:val="16"/>
    </w:rPr>
  </w:style>
  <w:style w:type="character" w:customStyle="1" w:styleId="BodyTextIndent3Char">
    <w:name w:val="Body Text Indent 3 Char"/>
    <w:link w:val="BodyTextIndent3"/>
    <w:uiPriority w:val="99"/>
    <w:rsid w:val="004D6219"/>
    <w:rPr>
      <w:sz w:val="24"/>
      <w:szCs w:val="16"/>
    </w:rPr>
  </w:style>
  <w:style w:type="paragraph" w:customStyle="1" w:styleId="Center">
    <w:name w:val="Center"/>
    <w:basedOn w:val="Normal"/>
    <w:qFormat/>
    <w:rsid w:val="004D6219"/>
    <w:pPr>
      <w:spacing w:after="240"/>
      <w:jc w:val="center"/>
    </w:pPr>
  </w:style>
  <w:style w:type="paragraph" w:styleId="Footer">
    <w:name w:val="footer"/>
    <w:basedOn w:val="Normal"/>
    <w:link w:val="FooterChar"/>
    <w:uiPriority w:val="99"/>
    <w:rsid w:val="00077613"/>
    <w:pPr>
      <w:tabs>
        <w:tab w:val="center" w:pos="4680"/>
        <w:tab w:val="right" w:pos="9360"/>
      </w:tabs>
    </w:pPr>
  </w:style>
  <w:style w:type="character" w:customStyle="1" w:styleId="FooterChar">
    <w:name w:val="Footer Char"/>
    <w:link w:val="Footer"/>
    <w:uiPriority w:val="99"/>
    <w:rsid w:val="004D6219"/>
    <w:rPr>
      <w:sz w:val="24"/>
      <w:szCs w:val="24"/>
    </w:rPr>
  </w:style>
  <w:style w:type="paragraph" w:styleId="Header">
    <w:name w:val="header"/>
    <w:basedOn w:val="Normal"/>
    <w:link w:val="HeaderChar"/>
    <w:rsid w:val="00077613"/>
    <w:pPr>
      <w:tabs>
        <w:tab w:val="center" w:pos="4680"/>
        <w:tab w:val="right" w:pos="9360"/>
      </w:tabs>
    </w:pPr>
  </w:style>
  <w:style w:type="character" w:customStyle="1" w:styleId="HeaderChar">
    <w:name w:val="Header Char"/>
    <w:link w:val="Header"/>
    <w:rsid w:val="004D6219"/>
    <w:rPr>
      <w:sz w:val="24"/>
      <w:szCs w:val="24"/>
    </w:rPr>
  </w:style>
  <w:style w:type="paragraph" w:styleId="ListBullet">
    <w:name w:val="List Bullet"/>
    <w:basedOn w:val="Normal"/>
    <w:uiPriority w:val="99"/>
    <w:unhideWhenUsed/>
    <w:rsid w:val="004D6219"/>
    <w:pPr>
      <w:numPr>
        <w:numId w:val="16"/>
      </w:numPr>
      <w:contextualSpacing/>
    </w:pPr>
  </w:style>
  <w:style w:type="paragraph" w:styleId="ListBullet2">
    <w:name w:val="List Bullet 2"/>
    <w:basedOn w:val="Normal"/>
    <w:uiPriority w:val="99"/>
    <w:unhideWhenUsed/>
    <w:rsid w:val="004D6219"/>
    <w:pPr>
      <w:numPr>
        <w:numId w:val="17"/>
      </w:numPr>
      <w:spacing w:after="240"/>
    </w:pPr>
  </w:style>
  <w:style w:type="paragraph" w:styleId="ListBullet3">
    <w:name w:val="List Bullet 3"/>
    <w:basedOn w:val="Normal"/>
    <w:uiPriority w:val="99"/>
    <w:unhideWhenUsed/>
    <w:rsid w:val="004D6219"/>
    <w:pPr>
      <w:numPr>
        <w:numId w:val="18"/>
      </w:numPr>
      <w:contextualSpacing/>
    </w:pPr>
  </w:style>
  <w:style w:type="character" w:styleId="PageNumber">
    <w:name w:val="page number"/>
    <w:basedOn w:val="DefaultParagraphFont"/>
    <w:rsid w:val="004D6219"/>
  </w:style>
  <w:style w:type="paragraph" w:customStyle="1" w:styleId="Right">
    <w:name w:val="Right"/>
    <w:basedOn w:val="Normal"/>
    <w:qFormat/>
    <w:rsid w:val="004D6219"/>
    <w:pPr>
      <w:spacing w:after="240"/>
      <w:jc w:val="right"/>
    </w:pPr>
  </w:style>
  <w:style w:type="paragraph" w:styleId="Signature">
    <w:name w:val="Signature"/>
    <w:basedOn w:val="Normal"/>
    <w:link w:val="SignatureChar"/>
    <w:uiPriority w:val="97"/>
    <w:rsid w:val="004D6219"/>
    <w:pPr>
      <w:tabs>
        <w:tab w:val="left" w:pos="5400"/>
        <w:tab w:val="center" w:pos="7200"/>
        <w:tab w:val="right" w:pos="9360"/>
      </w:tabs>
      <w:ind w:left="5040"/>
    </w:pPr>
  </w:style>
  <w:style w:type="character" w:customStyle="1" w:styleId="SignatureChar">
    <w:name w:val="Signature Char"/>
    <w:link w:val="Signature"/>
    <w:uiPriority w:val="97"/>
    <w:rsid w:val="004D6219"/>
    <w:rPr>
      <w:rFonts w:cs="Times New Roman"/>
    </w:rPr>
  </w:style>
  <w:style w:type="paragraph" w:customStyle="1" w:styleId="SignatureL">
    <w:name w:val="Signature L"/>
    <w:basedOn w:val="Normal"/>
    <w:next w:val="Normal"/>
    <w:rsid w:val="004D6219"/>
    <w:pPr>
      <w:tabs>
        <w:tab w:val="left" w:pos="360"/>
        <w:tab w:val="center" w:pos="2340"/>
        <w:tab w:val="right" w:pos="4320"/>
      </w:tabs>
    </w:pPr>
  </w:style>
  <w:style w:type="paragraph" w:styleId="Subtitle">
    <w:name w:val="Subtitle"/>
    <w:basedOn w:val="Normal"/>
    <w:next w:val="Normal"/>
    <w:link w:val="SubtitleChar"/>
    <w:uiPriority w:val="11"/>
    <w:qFormat/>
    <w:rsid w:val="004D6219"/>
    <w:pPr>
      <w:spacing w:after="240"/>
    </w:pPr>
    <w:rPr>
      <w:b/>
      <w:u w:val="single"/>
    </w:rPr>
  </w:style>
  <w:style w:type="character" w:customStyle="1" w:styleId="SubtitleChar">
    <w:name w:val="Subtitle Char"/>
    <w:link w:val="Subtitle"/>
    <w:uiPriority w:val="11"/>
    <w:rsid w:val="004D6219"/>
    <w:rPr>
      <w:rFonts w:cs="Times New Roman"/>
      <w:b/>
      <w:u w:val="single"/>
    </w:rPr>
  </w:style>
  <w:style w:type="paragraph" w:styleId="Title">
    <w:name w:val="Title"/>
    <w:basedOn w:val="Normal"/>
    <w:next w:val="Normal"/>
    <w:link w:val="TitleChar"/>
    <w:uiPriority w:val="10"/>
    <w:qFormat/>
    <w:rsid w:val="004D6219"/>
    <w:pPr>
      <w:spacing w:after="240"/>
      <w:jc w:val="center"/>
    </w:pPr>
    <w:rPr>
      <w:rFonts w:ascii="Times New Roman Bold" w:hAnsi="Times New Roman Bold"/>
      <w:b/>
    </w:rPr>
  </w:style>
  <w:style w:type="character" w:customStyle="1" w:styleId="TitleChar">
    <w:name w:val="Title Char"/>
    <w:link w:val="Title"/>
    <w:uiPriority w:val="10"/>
    <w:rsid w:val="004D6219"/>
    <w:rPr>
      <w:rFonts w:ascii="Times New Roman Bold" w:eastAsia="Times New Roman" w:hAnsi="Times New Roman Bold" w:cs="Times New Roman"/>
      <w:b/>
    </w:rPr>
  </w:style>
  <w:style w:type="character" w:customStyle="1" w:styleId="Heading1Char">
    <w:name w:val="Heading 1 Char"/>
    <w:link w:val="Heading1"/>
    <w:uiPriority w:val="9"/>
    <w:rsid w:val="004D6219"/>
    <w:rPr>
      <w:rFonts w:eastAsia="Times New Roman" w:cs="Times New Roman"/>
      <w:b/>
      <w:bCs/>
      <w:szCs w:val="28"/>
    </w:rPr>
  </w:style>
  <w:style w:type="character" w:customStyle="1" w:styleId="Heading2Char">
    <w:name w:val="Heading 2 Char"/>
    <w:link w:val="Heading2"/>
    <w:uiPriority w:val="9"/>
    <w:rsid w:val="004D6219"/>
    <w:rPr>
      <w:rFonts w:eastAsia="Times New Roman" w:cs="Times New Roman"/>
      <w:b/>
      <w:bCs/>
      <w:szCs w:val="26"/>
    </w:rPr>
  </w:style>
  <w:style w:type="character" w:customStyle="1" w:styleId="Heading3Char">
    <w:name w:val="Heading 3 Char"/>
    <w:link w:val="Heading3"/>
    <w:uiPriority w:val="9"/>
    <w:rsid w:val="004D6219"/>
    <w:rPr>
      <w:rFonts w:eastAsia="Times New Roman" w:cs="Times New Roman"/>
      <w:b/>
      <w:bCs/>
    </w:rPr>
  </w:style>
  <w:style w:type="paragraph" w:styleId="Quote">
    <w:name w:val="Quote"/>
    <w:basedOn w:val="Normal"/>
    <w:next w:val="BodyTextContinued"/>
    <w:link w:val="QuoteChar"/>
    <w:qFormat/>
    <w:rsid w:val="00077613"/>
    <w:pPr>
      <w:spacing w:after="240"/>
      <w:ind w:left="1440" w:right="1440"/>
    </w:pPr>
    <w:rPr>
      <w:szCs w:val="20"/>
    </w:rPr>
  </w:style>
  <w:style w:type="character" w:customStyle="1" w:styleId="QuoteChar">
    <w:name w:val="Quote Char"/>
    <w:link w:val="Quote"/>
    <w:rsid w:val="004D6219"/>
    <w:rPr>
      <w:sz w:val="24"/>
    </w:rPr>
  </w:style>
  <w:style w:type="paragraph" w:styleId="CommentText">
    <w:name w:val="annotation text"/>
    <w:basedOn w:val="Normal"/>
    <w:link w:val="CommentTextChar"/>
    <w:uiPriority w:val="99"/>
    <w:semiHidden/>
    <w:unhideWhenUsed/>
    <w:rsid w:val="004D6219"/>
    <w:rPr>
      <w:sz w:val="20"/>
      <w:szCs w:val="20"/>
    </w:rPr>
  </w:style>
  <w:style w:type="character" w:customStyle="1" w:styleId="CommentTextChar">
    <w:name w:val="Comment Text Char"/>
    <w:link w:val="CommentText"/>
    <w:uiPriority w:val="99"/>
    <w:semiHidden/>
    <w:rsid w:val="004D6219"/>
    <w:rPr>
      <w:rFonts w:cs="Times New Roman"/>
      <w:sz w:val="20"/>
      <w:szCs w:val="20"/>
    </w:rPr>
  </w:style>
  <w:style w:type="character" w:styleId="CommentReference">
    <w:name w:val="annotation reference"/>
    <w:uiPriority w:val="99"/>
    <w:semiHidden/>
    <w:unhideWhenUsed/>
    <w:rsid w:val="004D6219"/>
    <w:rPr>
      <w:sz w:val="16"/>
      <w:szCs w:val="16"/>
    </w:rPr>
  </w:style>
  <w:style w:type="character" w:styleId="FootnoteReference">
    <w:name w:val="footnote reference"/>
    <w:rsid w:val="004D6219"/>
  </w:style>
  <w:style w:type="paragraph" w:styleId="FootnoteText">
    <w:name w:val="footnote text"/>
    <w:rsid w:val="004D6219"/>
    <w:rPr>
      <w:sz w:val="24"/>
      <w:szCs w:val="24"/>
    </w:rPr>
  </w:style>
  <w:style w:type="paragraph" w:styleId="BalloonText">
    <w:name w:val="Balloon Text"/>
    <w:basedOn w:val="Normal"/>
    <w:link w:val="BalloonTextChar"/>
    <w:uiPriority w:val="99"/>
    <w:semiHidden/>
    <w:unhideWhenUsed/>
    <w:rsid w:val="00077613"/>
    <w:rPr>
      <w:rFonts w:ascii="Tahoma" w:hAnsi="Tahoma" w:cs="Tahoma"/>
      <w:sz w:val="16"/>
      <w:szCs w:val="16"/>
    </w:rPr>
  </w:style>
  <w:style w:type="character" w:customStyle="1" w:styleId="BalloonTextChar">
    <w:name w:val="Balloon Text Char"/>
    <w:link w:val="BalloonText"/>
    <w:uiPriority w:val="99"/>
    <w:semiHidden/>
    <w:rsid w:val="004D6219"/>
    <w:rPr>
      <w:rFonts w:ascii="Tahoma" w:hAnsi="Tahoma" w:cs="Tahoma"/>
      <w:sz w:val="16"/>
      <w:szCs w:val="16"/>
    </w:rPr>
  </w:style>
  <w:style w:type="paragraph" w:customStyle="1" w:styleId="BodyTextHang3">
    <w:name w:val="Body Text Hang 3"/>
    <w:basedOn w:val="Normal"/>
    <w:qFormat/>
    <w:rsid w:val="004D6219"/>
    <w:pPr>
      <w:spacing w:after="240"/>
      <w:ind w:left="2160" w:hanging="720"/>
      <w:jc w:val="both"/>
    </w:pPr>
    <w:rPr>
      <w:kern w:val="18"/>
    </w:rPr>
  </w:style>
  <w:style w:type="paragraph" w:customStyle="1" w:styleId="Legal2Cont1">
    <w:name w:val="Legal2 Cont 1"/>
    <w:basedOn w:val="Normal"/>
    <w:link w:val="Legal2Cont1Char"/>
    <w:rsid w:val="00077613"/>
    <w:pPr>
      <w:spacing w:after="240"/>
      <w:ind w:firstLine="720"/>
    </w:pPr>
    <w:rPr>
      <w:szCs w:val="20"/>
    </w:rPr>
  </w:style>
  <w:style w:type="paragraph" w:customStyle="1" w:styleId="Legal2Cont2">
    <w:name w:val="Legal2 Cont 2"/>
    <w:basedOn w:val="Legal2Cont1"/>
    <w:link w:val="Legal2Cont2Char"/>
    <w:rsid w:val="00077613"/>
    <w:pPr>
      <w:ind w:firstLine="1440"/>
    </w:pPr>
  </w:style>
  <w:style w:type="paragraph" w:customStyle="1" w:styleId="Legal2Cont3">
    <w:name w:val="Legal2 Cont 3"/>
    <w:basedOn w:val="Legal2Cont2"/>
    <w:link w:val="Legal2Cont3Char"/>
    <w:rsid w:val="00077613"/>
    <w:pPr>
      <w:ind w:firstLine="2160"/>
    </w:pPr>
  </w:style>
  <w:style w:type="paragraph" w:customStyle="1" w:styleId="Legal2Cont4">
    <w:name w:val="Legal2 Cont 4"/>
    <w:basedOn w:val="Legal2Cont3"/>
    <w:link w:val="Legal2Cont4Char"/>
    <w:rsid w:val="00077613"/>
    <w:pPr>
      <w:ind w:firstLine="2880"/>
    </w:pPr>
  </w:style>
  <w:style w:type="paragraph" w:customStyle="1" w:styleId="Legal2Cont5">
    <w:name w:val="Legal2 Cont 5"/>
    <w:basedOn w:val="Legal2Cont4"/>
    <w:link w:val="Legal2Cont5Char"/>
    <w:rsid w:val="00077613"/>
    <w:pPr>
      <w:ind w:firstLine="3600"/>
    </w:pPr>
  </w:style>
  <w:style w:type="paragraph" w:customStyle="1" w:styleId="Legal2Cont6">
    <w:name w:val="Legal2 Cont 6"/>
    <w:basedOn w:val="Legal2Cont5"/>
    <w:link w:val="Legal2Cont6Char"/>
    <w:rsid w:val="00077613"/>
    <w:pPr>
      <w:ind w:firstLine="4320"/>
    </w:pPr>
  </w:style>
  <w:style w:type="paragraph" w:customStyle="1" w:styleId="Legal2Cont7">
    <w:name w:val="Legal2 Cont 7"/>
    <w:basedOn w:val="Legal2Cont6"/>
    <w:link w:val="Legal2Cont7Char"/>
    <w:rsid w:val="00077613"/>
    <w:pPr>
      <w:ind w:firstLine="5040"/>
    </w:pPr>
  </w:style>
  <w:style w:type="paragraph" w:customStyle="1" w:styleId="Legal2Cont8">
    <w:name w:val="Legal2 Cont 8"/>
    <w:basedOn w:val="Legal2Cont7"/>
    <w:link w:val="Legal2Cont8Char"/>
    <w:rsid w:val="00077613"/>
    <w:pPr>
      <w:ind w:firstLine="5760"/>
    </w:pPr>
  </w:style>
  <w:style w:type="paragraph" w:customStyle="1" w:styleId="Legal2Cont9">
    <w:name w:val="Legal2 Cont 9"/>
    <w:basedOn w:val="Legal2Cont8"/>
    <w:link w:val="Legal2Cont9Char"/>
    <w:rsid w:val="00077613"/>
    <w:pPr>
      <w:ind w:firstLine="6480"/>
    </w:pPr>
  </w:style>
  <w:style w:type="paragraph" w:customStyle="1" w:styleId="Legal2L1">
    <w:name w:val="Legal2_L1"/>
    <w:basedOn w:val="Normal"/>
    <w:next w:val="BodyText"/>
    <w:link w:val="Legal2L1Char"/>
    <w:rsid w:val="004D6219"/>
    <w:pPr>
      <w:numPr>
        <w:numId w:val="7"/>
      </w:numPr>
      <w:spacing w:after="240"/>
      <w:jc w:val="both"/>
      <w:outlineLvl w:val="0"/>
    </w:pPr>
    <w:rPr>
      <w:szCs w:val="20"/>
    </w:rPr>
  </w:style>
  <w:style w:type="paragraph" w:customStyle="1" w:styleId="Legal2L2">
    <w:name w:val="Legal2_L2"/>
    <w:basedOn w:val="Legal2L1"/>
    <w:next w:val="BodyText"/>
    <w:link w:val="Legal2L2Char"/>
    <w:rsid w:val="004D6219"/>
    <w:pPr>
      <w:numPr>
        <w:ilvl w:val="1"/>
      </w:numPr>
      <w:outlineLvl w:val="1"/>
    </w:pPr>
  </w:style>
  <w:style w:type="paragraph" w:customStyle="1" w:styleId="Legal2L3">
    <w:name w:val="Legal2_L3"/>
    <w:basedOn w:val="Legal2L2"/>
    <w:next w:val="BodyText"/>
    <w:link w:val="Legal2L3Char"/>
    <w:rsid w:val="004D6219"/>
    <w:pPr>
      <w:numPr>
        <w:ilvl w:val="2"/>
      </w:numPr>
      <w:outlineLvl w:val="2"/>
    </w:pPr>
  </w:style>
  <w:style w:type="paragraph" w:customStyle="1" w:styleId="Legal2L4">
    <w:name w:val="Legal2_L4"/>
    <w:basedOn w:val="Legal2L3"/>
    <w:next w:val="BodyText"/>
    <w:link w:val="Legal2L4Char"/>
    <w:rsid w:val="004D6219"/>
    <w:pPr>
      <w:numPr>
        <w:ilvl w:val="3"/>
      </w:numPr>
      <w:outlineLvl w:val="3"/>
    </w:pPr>
  </w:style>
  <w:style w:type="paragraph" w:customStyle="1" w:styleId="Legal2L5">
    <w:name w:val="Legal2_L5"/>
    <w:basedOn w:val="Legal2L4"/>
    <w:next w:val="BodyText"/>
    <w:link w:val="Legal2L5Char"/>
    <w:rsid w:val="00077613"/>
    <w:pPr>
      <w:numPr>
        <w:ilvl w:val="4"/>
      </w:numPr>
      <w:jc w:val="left"/>
      <w:outlineLvl w:val="4"/>
    </w:pPr>
  </w:style>
  <w:style w:type="paragraph" w:customStyle="1" w:styleId="Legal2L6">
    <w:name w:val="Legal2_L6"/>
    <w:basedOn w:val="Legal2L5"/>
    <w:next w:val="BodyText"/>
    <w:link w:val="Legal2L6Char"/>
    <w:rsid w:val="00077613"/>
    <w:pPr>
      <w:numPr>
        <w:ilvl w:val="5"/>
      </w:numPr>
      <w:outlineLvl w:val="5"/>
    </w:pPr>
  </w:style>
  <w:style w:type="paragraph" w:customStyle="1" w:styleId="Legal2L7">
    <w:name w:val="Legal2_L7"/>
    <w:basedOn w:val="Legal2L6"/>
    <w:next w:val="BodyText"/>
    <w:link w:val="Legal2L7Char"/>
    <w:rsid w:val="00077613"/>
    <w:pPr>
      <w:numPr>
        <w:ilvl w:val="6"/>
      </w:numPr>
      <w:outlineLvl w:val="6"/>
    </w:pPr>
  </w:style>
  <w:style w:type="paragraph" w:customStyle="1" w:styleId="Legal2L8">
    <w:name w:val="Legal2_L8"/>
    <w:basedOn w:val="Legal2L7"/>
    <w:next w:val="BodyText"/>
    <w:link w:val="Legal2L8Char"/>
    <w:rsid w:val="00077613"/>
    <w:pPr>
      <w:numPr>
        <w:ilvl w:val="7"/>
      </w:numPr>
      <w:outlineLvl w:val="7"/>
    </w:pPr>
  </w:style>
  <w:style w:type="paragraph" w:customStyle="1" w:styleId="Legal2L9">
    <w:name w:val="Legal2_L9"/>
    <w:basedOn w:val="Legal2L8"/>
    <w:next w:val="BodyText"/>
    <w:link w:val="Legal2L9Char"/>
    <w:rsid w:val="00077613"/>
    <w:pPr>
      <w:numPr>
        <w:ilvl w:val="8"/>
      </w:numPr>
      <w:outlineLvl w:val="8"/>
    </w:pPr>
  </w:style>
  <w:style w:type="table" w:styleId="TableGrid">
    <w:name w:val="Table Grid"/>
    <w:basedOn w:val="TableNormal"/>
    <w:uiPriority w:val="59"/>
    <w:rsid w:val="004D6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3792"/>
    <w:rPr>
      <w:sz w:val="24"/>
      <w:szCs w:val="24"/>
    </w:rPr>
  </w:style>
  <w:style w:type="character" w:customStyle="1" w:styleId="zzmpTrailerItem">
    <w:name w:val="zzmpTrailerItem"/>
    <w:basedOn w:val="DefaultParagraphFont"/>
    <w:rsid w:val="006F200B"/>
    <w:rPr>
      <w:rFonts w:ascii="Times New Roman" w:hAnsi="Times New Roman" w:cs="Times New Roman"/>
      <w:dstrike w:val="0"/>
      <w:noProof/>
      <w:color w:val="auto"/>
      <w:spacing w:val="0"/>
      <w:position w:val="0"/>
      <w:sz w:val="16"/>
      <w:szCs w:val="16"/>
      <w:u w:val="none"/>
      <w:effect w:val="none"/>
      <w:vertAlign w:val="baseline"/>
    </w:rPr>
  </w:style>
  <w:style w:type="paragraph" w:styleId="DocumentMap">
    <w:name w:val="Document Map"/>
    <w:basedOn w:val="Normal"/>
    <w:link w:val="DocumentMapChar"/>
    <w:uiPriority w:val="99"/>
    <w:semiHidden/>
    <w:unhideWhenUsed/>
    <w:rsid w:val="00077613"/>
    <w:rPr>
      <w:rFonts w:ascii="Tahoma" w:hAnsi="Tahoma" w:cs="Tahoma"/>
      <w:sz w:val="16"/>
      <w:szCs w:val="16"/>
    </w:rPr>
  </w:style>
  <w:style w:type="character" w:customStyle="1" w:styleId="DocumentMapChar">
    <w:name w:val="Document Map Char"/>
    <w:link w:val="DocumentMap"/>
    <w:uiPriority w:val="99"/>
    <w:semiHidden/>
    <w:rsid w:val="00E22839"/>
    <w:rPr>
      <w:rFonts w:ascii="Tahoma" w:hAnsi="Tahoma" w:cs="Tahoma"/>
      <w:sz w:val="16"/>
      <w:szCs w:val="16"/>
    </w:rPr>
  </w:style>
  <w:style w:type="character" w:customStyle="1" w:styleId="Legal2L1Char">
    <w:name w:val="Legal2_L1 Char"/>
    <w:link w:val="Legal2L1"/>
    <w:rsid w:val="00E8695A"/>
    <w:rPr>
      <w:rFonts w:cs="Times New Roman"/>
      <w:szCs w:val="20"/>
    </w:rPr>
  </w:style>
  <w:style w:type="character" w:customStyle="1" w:styleId="Legal2L2Char">
    <w:name w:val="Legal2_L2 Char"/>
    <w:link w:val="Legal2L2"/>
    <w:rsid w:val="00265CBC"/>
    <w:rPr>
      <w:rFonts w:cs="Times New Roman"/>
      <w:szCs w:val="20"/>
    </w:rPr>
  </w:style>
  <w:style w:type="paragraph" w:styleId="CommentSubject">
    <w:name w:val="annotation subject"/>
    <w:basedOn w:val="CommentText"/>
    <w:next w:val="CommentText"/>
    <w:link w:val="CommentSubjectChar"/>
    <w:uiPriority w:val="99"/>
    <w:semiHidden/>
    <w:unhideWhenUsed/>
    <w:rsid w:val="003B4F7E"/>
    <w:rPr>
      <w:b/>
      <w:bCs/>
    </w:rPr>
  </w:style>
  <w:style w:type="character" w:customStyle="1" w:styleId="CommentSubjectChar">
    <w:name w:val="Comment Subject Char"/>
    <w:link w:val="CommentSubject"/>
    <w:uiPriority w:val="99"/>
    <w:semiHidden/>
    <w:rsid w:val="003B4F7E"/>
    <w:rPr>
      <w:rFonts w:cs="Times New Roman"/>
      <w:b/>
      <w:bCs/>
      <w:sz w:val="20"/>
      <w:szCs w:val="20"/>
    </w:rPr>
  </w:style>
  <w:style w:type="character" w:customStyle="1" w:styleId="Legal2Cont1Char">
    <w:name w:val="Legal2 Cont 1 Char"/>
    <w:basedOn w:val="DefaultParagraphFont"/>
    <w:link w:val="Legal2Cont1"/>
    <w:rsid w:val="00077613"/>
    <w:rPr>
      <w:sz w:val="24"/>
    </w:rPr>
  </w:style>
  <w:style w:type="character" w:customStyle="1" w:styleId="Legal2Cont2Char">
    <w:name w:val="Legal2 Cont 2 Char"/>
    <w:basedOn w:val="DefaultParagraphFont"/>
    <w:link w:val="Legal2Cont2"/>
    <w:rsid w:val="00077613"/>
    <w:rPr>
      <w:sz w:val="24"/>
    </w:rPr>
  </w:style>
  <w:style w:type="character" w:customStyle="1" w:styleId="Legal2Cont3Char">
    <w:name w:val="Legal2 Cont 3 Char"/>
    <w:basedOn w:val="DefaultParagraphFont"/>
    <w:link w:val="Legal2Cont3"/>
    <w:rsid w:val="00077613"/>
    <w:rPr>
      <w:sz w:val="24"/>
    </w:rPr>
  </w:style>
  <w:style w:type="character" w:customStyle="1" w:styleId="Legal2Cont4Char">
    <w:name w:val="Legal2 Cont 4 Char"/>
    <w:basedOn w:val="DefaultParagraphFont"/>
    <w:link w:val="Legal2Cont4"/>
    <w:rsid w:val="00077613"/>
    <w:rPr>
      <w:sz w:val="24"/>
    </w:rPr>
  </w:style>
  <w:style w:type="character" w:customStyle="1" w:styleId="Legal2Cont5Char">
    <w:name w:val="Legal2 Cont 5 Char"/>
    <w:basedOn w:val="DefaultParagraphFont"/>
    <w:link w:val="Legal2Cont5"/>
    <w:rsid w:val="00077613"/>
    <w:rPr>
      <w:sz w:val="24"/>
    </w:rPr>
  </w:style>
  <w:style w:type="character" w:customStyle="1" w:styleId="Legal2Cont6Char">
    <w:name w:val="Legal2 Cont 6 Char"/>
    <w:basedOn w:val="DefaultParagraphFont"/>
    <w:link w:val="Legal2Cont6"/>
    <w:rsid w:val="00077613"/>
    <w:rPr>
      <w:sz w:val="24"/>
    </w:rPr>
  </w:style>
  <w:style w:type="character" w:customStyle="1" w:styleId="Legal2Cont7Char">
    <w:name w:val="Legal2 Cont 7 Char"/>
    <w:basedOn w:val="DefaultParagraphFont"/>
    <w:link w:val="Legal2Cont7"/>
    <w:rsid w:val="00077613"/>
    <w:rPr>
      <w:sz w:val="24"/>
    </w:rPr>
  </w:style>
  <w:style w:type="character" w:customStyle="1" w:styleId="Legal2Cont8Char">
    <w:name w:val="Legal2 Cont 8 Char"/>
    <w:basedOn w:val="DefaultParagraphFont"/>
    <w:link w:val="Legal2Cont8"/>
    <w:rsid w:val="00077613"/>
    <w:rPr>
      <w:sz w:val="24"/>
    </w:rPr>
  </w:style>
  <w:style w:type="character" w:customStyle="1" w:styleId="Legal2Cont9Char">
    <w:name w:val="Legal2 Cont 9 Char"/>
    <w:basedOn w:val="DefaultParagraphFont"/>
    <w:link w:val="Legal2Cont9"/>
    <w:rsid w:val="00077613"/>
    <w:rPr>
      <w:sz w:val="24"/>
    </w:rPr>
  </w:style>
  <w:style w:type="character" w:customStyle="1" w:styleId="Legal2L3Char">
    <w:name w:val="Legal2_L3 Char"/>
    <w:basedOn w:val="DefaultParagraphFont"/>
    <w:link w:val="Legal2L3"/>
    <w:rsid w:val="00077613"/>
    <w:rPr>
      <w:sz w:val="24"/>
    </w:rPr>
  </w:style>
  <w:style w:type="character" w:customStyle="1" w:styleId="Legal2L4Char">
    <w:name w:val="Legal2_L4 Char"/>
    <w:basedOn w:val="DefaultParagraphFont"/>
    <w:link w:val="Legal2L4"/>
    <w:rsid w:val="00077613"/>
    <w:rPr>
      <w:sz w:val="24"/>
    </w:rPr>
  </w:style>
  <w:style w:type="character" w:customStyle="1" w:styleId="Legal2L5Char">
    <w:name w:val="Legal2_L5 Char"/>
    <w:basedOn w:val="DefaultParagraphFont"/>
    <w:link w:val="Legal2L5"/>
    <w:rsid w:val="00077613"/>
    <w:rPr>
      <w:sz w:val="24"/>
    </w:rPr>
  </w:style>
  <w:style w:type="character" w:customStyle="1" w:styleId="Legal2L6Char">
    <w:name w:val="Legal2_L6 Char"/>
    <w:basedOn w:val="DefaultParagraphFont"/>
    <w:link w:val="Legal2L6"/>
    <w:rsid w:val="00077613"/>
    <w:rPr>
      <w:sz w:val="24"/>
    </w:rPr>
  </w:style>
  <w:style w:type="character" w:customStyle="1" w:styleId="Legal2L7Char">
    <w:name w:val="Legal2_L7 Char"/>
    <w:basedOn w:val="DefaultParagraphFont"/>
    <w:link w:val="Legal2L7"/>
    <w:rsid w:val="00077613"/>
    <w:rPr>
      <w:sz w:val="24"/>
    </w:rPr>
  </w:style>
  <w:style w:type="character" w:customStyle="1" w:styleId="Legal2L8Char">
    <w:name w:val="Legal2_L8 Char"/>
    <w:basedOn w:val="DefaultParagraphFont"/>
    <w:link w:val="Legal2L8"/>
    <w:rsid w:val="00077613"/>
    <w:rPr>
      <w:sz w:val="24"/>
    </w:rPr>
  </w:style>
  <w:style w:type="character" w:customStyle="1" w:styleId="Legal2L9Char">
    <w:name w:val="Legal2_L9 Char"/>
    <w:basedOn w:val="DefaultParagraphFont"/>
    <w:link w:val="Legal2L9"/>
    <w:rsid w:val="00077613"/>
    <w:rPr>
      <w:sz w:val="24"/>
    </w:rPr>
  </w:style>
  <w:style w:type="paragraph" w:styleId="ListParagraph">
    <w:name w:val="List Paragraph"/>
    <w:basedOn w:val="Normal"/>
    <w:uiPriority w:val="99"/>
    <w:qFormat/>
    <w:rsid w:val="00077613"/>
    <w:pPr>
      <w:ind w:left="720"/>
    </w:pPr>
    <w:rPr>
      <w:sz w:val="20"/>
      <w:szCs w:val="20"/>
    </w:rPr>
  </w:style>
  <w:style w:type="character" w:customStyle="1" w:styleId="DeltaViewInsertion">
    <w:name w:val="DeltaView Insertion"/>
    <w:uiPriority w:val="99"/>
    <w:rsid w:val="00077613"/>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374222">
      <w:bodyDiv w:val="1"/>
      <w:marLeft w:val="0"/>
      <w:marRight w:val="0"/>
      <w:marTop w:val="0"/>
      <w:marBottom w:val="0"/>
      <w:divBdr>
        <w:top w:val="none" w:sz="0" w:space="0" w:color="auto"/>
        <w:left w:val="none" w:sz="0" w:space="0" w:color="auto"/>
        <w:bottom w:val="none" w:sz="0" w:space="0" w:color="auto"/>
        <w:right w:val="none" w:sz="0" w:space="0" w:color="auto"/>
      </w:divBdr>
    </w:div>
    <w:div w:id="1684360896">
      <w:bodyDiv w:val="1"/>
      <w:marLeft w:val="0"/>
      <w:marRight w:val="0"/>
      <w:marTop w:val="0"/>
      <w:marBottom w:val="0"/>
      <w:divBdr>
        <w:top w:val="none" w:sz="0" w:space="0" w:color="auto"/>
        <w:left w:val="none" w:sz="0" w:space="0" w:color="auto"/>
        <w:bottom w:val="none" w:sz="0" w:space="0" w:color="auto"/>
        <w:right w:val="none" w:sz="0" w:space="0" w:color="auto"/>
      </w:divBdr>
    </w:div>
    <w:div w:id="177124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4604</Words>
  <Characters>26245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2018-03-18T04:43:00Z</dcterms:created>
  <dcterms:modified xsi:type="dcterms:W3CDTF">2018-03-19T17:52:00Z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ABAAdnH19QYq2YXA5Dr8BVKY6J6E0BAm+WLZ5KYbg6TlGUX/eSdBfOA2HpiAfDk/dHST</vt:lpwstr>
  </property>
  <property fmtid="{D5CDD505-2E9C-101B-9397-08002B2CF9AE}" pid="3" name="MAIL_MSG_ID1">
    <vt:lpwstr>ABAAVOAfoSrQoywKVh10NgpLrHOH3H/f8yiAq8d98c525k70YPsuzlSb2rr1sxrgX0E8</vt:lpwstr>
  </property>
  <property fmtid="{D5CDD505-2E9C-101B-9397-08002B2CF9AE}" pid="4" name="MAIL_MSG_ID2">
    <vt:lpwstr>W3JT2WA9w92155hCoe4xRMPToIsp8KJe5D3POgze8dLY40hQA6UfY1GX5ht
e3k6os/8UY69olz2DaSkePCc0sOan0e0aSMZlA==</vt:lpwstr>
  </property>
  <property fmtid="{D5CDD505-2E9C-101B-9397-08002B2CF9AE}" pid="5" name="RESPONSE_SENDER_NAME">
    <vt:lpwstr>gAAAdya76B99d4hLGUR1rQ+8TxTv0GGEPdix</vt:lpwstr>
  </property>
</Properties>
</file>